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28" w:rsidRPr="00CE346A" w:rsidRDefault="00DA3909">
      <w:pPr>
        <w:rPr>
          <w:b/>
          <w:bCs/>
          <w:color w:val="000000" w:themeColor="text1"/>
          <w:sz w:val="24"/>
          <w:shd w:val="clear" w:color="auto" w:fill="FFFFFF"/>
        </w:rPr>
      </w:pPr>
      <w:r w:rsidRPr="00CE346A">
        <w:rPr>
          <w:rFonts w:hint="eastAsia"/>
          <w:b/>
          <w:bCs/>
          <w:color w:val="000000" w:themeColor="text1"/>
          <w:sz w:val="24"/>
          <w:shd w:val="clear" w:color="auto" w:fill="FFFFFF"/>
        </w:rPr>
        <w:t>万家基金管理有限公司关于旗下部分基金网上直销暂停通过支付</w:t>
      </w:r>
      <w:proofErr w:type="gramStart"/>
      <w:r w:rsidRPr="00CE346A">
        <w:rPr>
          <w:rFonts w:hint="eastAsia"/>
          <w:b/>
          <w:bCs/>
          <w:color w:val="000000" w:themeColor="text1"/>
          <w:sz w:val="24"/>
          <w:shd w:val="clear" w:color="auto" w:fill="FFFFFF"/>
        </w:rPr>
        <w:t>宝渠道</w:t>
      </w:r>
      <w:proofErr w:type="gramEnd"/>
      <w:r w:rsidRPr="00CE346A">
        <w:rPr>
          <w:rFonts w:hint="eastAsia"/>
          <w:b/>
          <w:bCs/>
          <w:color w:val="000000" w:themeColor="text1"/>
          <w:sz w:val="24"/>
          <w:shd w:val="clear" w:color="auto" w:fill="FFFFFF"/>
        </w:rPr>
        <w:t>申购的公告</w:t>
      </w:r>
    </w:p>
    <w:p w:rsidR="00DA3909" w:rsidRDefault="00DA3909">
      <w:pPr>
        <w:rPr>
          <w:color w:val="000000" w:themeColor="text1"/>
        </w:rPr>
      </w:pPr>
    </w:p>
    <w:p w:rsidR="00567F24" w:rsidRPr="00F51E52" w:rsidRDefault="00567F24" w:rsidP="00567F24">
      <w:pPr>
        <w:widowControl/>
        <w:shd w:val="clear" w:color="auto" w:fill="FFFFFF"/>
        <w:spacing w:before="100" w:beforeAutospacing="1" w:after="100" w:afterAutospacing="1" w:line="360" w:lineRule="atLeast"/>
        <w:ind w:firstLine="360"/>
        <w:jc w:val="left"/>
        <w:rPr>
          <w:rFonts w:asciiTheme="minorEastAsia" w:hAnsiTheme="minorEastAsia" w:cs="宋体" w:hint="eastAsia"/>
          <w:color w:val="000000"/>
          <w:kern w:val="0"/>
          <w:sz w:val="27"/>
          <w:szCs w:val="27"/>
        </w:rPr>
      </w:pPr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由于支付成本上升，为保护投资者利益，本公司决定自</w:t>
      </w:r>
      <w:r w:rsidRPr="00F51E52">
        <w:rPr>
          <w:rFonts w:asciiTheme="minorEastAsia" w:hAnsiTheme="minorEastAsia" w:cs="Times New Roman"/>
          <w:color w:val="000000"/>
          <w:kern w:val="0"/>
          <w:sz w:val="18"/>
          <w:szCs w:val="18"/>
        </w:rPr>
        <w:t>2015</w:t>
      </w:r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年</w:t>
      </w:r>
      <w:r w:rsidRPr="00F51E52">
        <w:rPr>
          <w:rFonts w:asciiTheme="minorEastAsia" w:hAnsiTheme="minorEastAsia" w:cs="Times New Roman"/>
          <w:color w:val="000000"/>
          <w:kern w:val="0"/>
          <w:sz w:val="18"/>
          <w:szCs w:val="18"/>
        </w:rPr>
        <w:t>4</w:t>
      </w:r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月</w:t>
      </w:r>
      <w:r w:rsidRPr="00F51E52">
        <w:rPr>
          <w:rFonts w:asciiTheme="minorEastAsia" w:hAnsiTheme="minorEastAsia" w:cs="Times New Roman" w:hint="eastAsia"/>
          <w:color w:val="000000"/>
          <w:kern w:val="0"/>
          <w:sz w:val="18"/>
          <w:szCs w:val="18"/>
        </w:rPr>
        <w:t>2</w:t>
      </w:r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日起，暂停通过支付</w:t>
      </w:r>
      <w:proofErr w:type="gramStart"/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宝渠道</w:t>
      </w:r>
      <w:proofErr w:type="gramEnd"/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在本公司网上直销平台办理本公司旗下部分基金申购（包括定期定额申购）业务。给您带来</w:t>
      </w:r>
      <w:r w:rsid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的</w:t>
      </w:r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不便敬请谅解，现将</w:t>
      </w:r>
      <w:r w:rsidR="00CE346A"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具体</w:t>
      </w:r>
      <w:r w:rsidRPr="00F51E52">
        <w:rPr>
          <w:rFonts w:asciiTheme="minorEastAsia" w:hAnsiTheme="minorEastAsia" w:cs="宋体" w:hint="eastAsia"/>
          <w:color w:val="000000"/>
          <w:kern w:val="0"/>
          <w:sz w:val="18"/>
          <w:szCs w:val="18"/>
        </w:rPr>
        <w:t>事项公告如下：</w:t>
      </w:r>
      <w:r w:rsidRPr="00F51E5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 </w:t>
      </w:r>
    </w:p>
    <w:p w:rsidR="00567F24" w:rsidRPr="00567F24" w:rsidRDefault="00567F24" w:rsidP="00CE346A">
      <w:pPr>
        <w:widowControl/>
        <w:shd w:val="clear" w:color="auto" w:fill="FFFFFF"/>
        <w:spacing w:before="100" w:beforeAutospacing="1" w:after="100" w:afterAutospacing="1" w:line="360" w:lineRule="atLeast"/>
        <w:ind w:firstLineChars="200" w:firstLine="36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567F24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基金范围</w:t>
      </w:r>
    </w:p>
    <w:tbl>
      <w:tblPr>
        <w:tblW w:w="77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1080"/>
        <w:gridCol w:w="6160"/>
      </w:tblGrid>
      <w:tr w:rsidR="00567F24" w:rsidRPr="00567F24" w:rsidTr="00567F24">
        <w:trPr>
          <w:trHeight w:val="30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24" w:rsidRPr="00567F24" w:rsidRDefault="00567F24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24" w:rsidRPr="00567F24" w:rsidRDefault="00567F24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51950</w:t>
            </w:r>
            <w:r w:rsid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24" w:rsidRPr="00567F24" w:rsidRDefault="00CE346A" w:rsidP="00567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万家货币市场证券投资基金A类</w:t>
            </w:r>
          </w:p>
        </w:tc>
      </w:tr>
      <w:tr w:rsidR="00567F24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24" w:rsidRPr="00567F24" w:rsidRDefault="00567F24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24" w:rsidRPr="00567F24" w:rsidRDefault="00567F24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51950</w:t>
            </w:r>
            <w:r w:rsid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24" w:rsidRPr="00567F24" w:rsidRDefault="00CE346A" w:rsidP="00567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万家货币市场证券投资基金B类</w:t>
            </w:r>
          </w:p>
        </w:tc>
      </w:tr>
      <w:tr w:rsidR="00567F24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F24" w:rsidRPr="00567F24" w:rsidRDefault="00567F24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24" w:rsidRPr="00567F24" w:rsidRDefault="00567F24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  <w:r w:rsid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7F24" w:rsidRPr="00567F24" w:rsidRDefault="00CE346A" w:rsidP="00567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万家</w:t>
            </w:r>
            <w:proofErr w:type="gramStart"/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</w:t>
            </w:r>
            <w:proofErr w:type="gramEnd"/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日薪货币市场证券投资基金A类</w:t>
            </w:r>
          </w:p>
        </w:tc>
      </w:tr>
      <w:tr w:rsidR="00CE346A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Default="00CE346A" w:rsidP="00CE346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A6A6A"/>
                <w:sz w:val="15"/>
                <w:szCs w:val="15"/>
              </w:rPr>
            </w:pPr>
            <w:r w:rsidRPr="00CE346A">
              <w:rPr>
                <w:rFonts w:ascii="宋体" w:eastAsia="宋体" w:hAnsi="宋体" w:cs="宋体"/>
                <w:kern w:val="0"/>
                <w:sz w:val="18"/>
                <w:szCs w:val="18"/>
              </w:rPr>
              <w:t>万家</w:t>
            </w:r>
            <w:proofErr w:type="gramStart"/>
            <w:r w:rsidRPr="00CE346A">
              <w:rPr>
                <w:rFonts w:ascii="宋体" w:eastAsia="宋体" w:hAnsi="宋体" w:cs="宋体"/>
                <w:kern w:val="0"/>
                <w:sz w:val="18"/>
                <w:szCs w:val="18"/>
              </w:rPr>
              <w:t>日</w:t>
            </w:r>
            <w:proofErr w:type="gramEnd"/>
            <w:r w:rsidRPr="00CE346A">
              <w:rPr>
                <w:rFonts w:ascii="宋体" w:eastAsia="宋体" w:hAnsi="宋体" w:cs="宋体"/>
                <w:kern w:val="0"/>
                <w:sz w:val="18"/>
                <w:szCs w:val="18"/>
              </w:rPr>
              <w:t>日薪货币市场证券投资基金B类</w:t>
            </w:r>
          </w:p>
        </w:tc>
      </w:tr>
      <w:tr w:rsidR="00CE346A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000773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Default="00CE346A" w:rsidP="00CE346A">
            <w:pPr>
              <w:widowControl/>
              <w:spacing w:before="100" w:beforeAutospacing="1" w:after="100" w:afterAutospacing="1"/>
              <w:jc w:val="left"/>
              <w:rPr>
                <w:rFonts w:ascii="Tahoma" w:eastAsia="宋体" w:hAnsi="Tahoma" w:cs="Tahoma"/>
                <w:color w:val="6A6A6A"/>
                <w:sz w:val="15"/>
                <w:szCs w:val="15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万家现金宝货币市场证券投资基金</w:t>
            </w:r>
          </w:p>
        </w:tc>
      </w:tr>
      <w:tr w:rsidR="00CE346A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161902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万家增强收益债券型证券投资基金</w:t>
            </w:r>
          </w:p>
        </w:tc>
      </w:tr>
      <w:tr w:rsidR="00CE346A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/>
                <w:kern w:val="0"/>
                <w:sz w:val="18"/>
                <w:szCs w:val="18"/>
              </w:rPr>
              <w:t>519187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万家稳健增利债券型证券投资基金C类</w:t>
            </w:r>
          </w:p>
        </w:tc>
      </w:tr>
      <w:tr w:rsidR="00CE346A" w:rsidRPr="00567F24" w:rsidTr="00567F24">
        <w:trPr>
          <w:trHeight w:val="300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67F2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/>
                <w:kern w:val="0"/>
                <w:sz w:val="18"/>
                <w:szCs w:val="18"/>
              </w:rPr>
              <w:t>519189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46A" w:rsidRPr="00567F24" w:rsidRDefault="00CE346A" w:rsidP="00567F2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</w:t>
            </w:r>
            <w:proofErr w:type="gramStart"/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家信用恒利</w:t>
            </w:r>
            <w:proofErr w:type="gramEnd"/>
            <w:r w:rsidRPr="00CE34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债券型证券投资基金 C类</w:t>
            </w:r>
          </w:p>
        </w:tc>
      </w:tr>
    </w:tbl>
    <w:p w:rsidR="00567F24" w:rsidRDefault="00567F24">
      <w:pPr>
        <w:rPr>
          <w:rFonts w:hint="eastAsia"/>
          <w:color w:val="000000" w:themeColor="text1"/>
        </w:rPr>
      </w:pPr>
    </w:p>
    <w:p w:rsidR="00F51E52" w:rsidRDefault="00F51E52">
      <w:pPr>
        <w:rPr>
          <w:rFonts w:hint="eastAsia"/>
          <w:color w:val="000000" w:themeColor="text1"/>
        </w:rPr>
      </w:pPr>
    </w:p>
    <w:p w:rsidR="00F51E52" w:rsidRPr="00F51E52" w:rsidRDefault="00F51E52">
      <w:pPr>
        <w:rPr>
          <w:rFonts w:asciiTheme="minorEastAsia" w:hAnsiTheme="minorEastAsia" w:hint="eastAsia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</w:rPr>
        <w:t xml:space="preserve">                                                         </w:t>
      </w:r>
      <w:r w:rsidRPr="00F51E52">
        <w:rPr>
          <w:rFonts w:asciiTheme="minorEastAsia" w:hAnsiTheme="minorEastAsia" w:hint="eastAsia"/>
          <w:color w:val="000000" w:themeColor="text1"/>
        </w:rPr>
        <w:t xml:space="preserve"> </w:t>
      </w:r>
      <w:r w:rsidRPr="00F51E52">
        <w:rPr>
          <w:rFonts w:asciiTheme="minorEastAsia" w:hAnsiTheme="minorEastAsia" w:hint="eastAsia"/>
          <w:color w:val="000000" w:themeColor="text1"/>
          <w:sz w:val="18"/>
          <w:szCs w:val="18"/>
        </w:rPr>
        <w:t>2014年4月1日</w:t>
      </w:r>
    </w:p>
    <w:p w:rsidR="00F51E52" w:rsidRPr="00F51E52" w:rsidRDefault="00F51E52">
      <w:pPr>
        <w:rPr>
          <w:rFonts w:asciiTheme="minorEastAsia" w:hAnsiTheme="minorEastAsia"/>
          <w:color w:val="000000" w:themeColor="text1"/>
          <w:sz w:val="18"/>
          <w:szCs w:val="18"/>
        </w:rPr>
      </w:pPr>
      <w:r w:rsidRPr="00F51E52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                                                   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        </w:t>
      </w:r>
      <w:r w:rsidRPr="00F51E52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   万家基金管理有限公司</w:t>
      </w:r>
    </w:p>
    <w:sectPr w:rsidR="00F51E52" w:rsidRPr="00F51E52" w:rsidSect="00C30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926" w:rsidRDefault="00663926" w:rsidP="00DA3909">
      <w:r>
        <w:separator/>
      </w:r>
    </w:p>
  </w:endnote>
  <w:endnote w:type="continuationSeparator" w:id="0">
    <w:p w:rsidR="00663926" w:rsidRDefault="00663926" w:rsidP="00DA3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926" w:rsidRDefault="00663926" w:rsidP="00DA3909">
      <w:r>
        <w:separator/>
      </w:r>
    </w:p>
  </w:footnote>
  <w:footnote w:type="continuationSeparator" w:id="0">
    <w:p w:rsidR="00663926" w:rsidRDefault="00663926" w:rsidP="00DA39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909"/>
    <w:rsid w:val="00567F24"/>
    <w:rsid w:val="00663926"/>
    <w:rsid w:val="009F3FC6"/>
    <w:rsid w:val="00B70F02"/>
    <w:rsid w:val="00C30928"/>
    <w:rsid w:val="00CE346A"/>
    <w:rsid w:val="00D47091"/>
    <w:rsid w:val="00DA3909"/>
    <w:rsid w:val="00F5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9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90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51E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51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黄文乐</dc:creator>
  <cp:keywords/>
  <dc:description/>
  <cp:lastModifiedBy>黄文乐</cp:lastModifiedBy>
  <cp:revision>3</cp:revision>
  <dcterms:created xsi:type="dcterms:W3CDTF">2015-03-31T09:41:00Z</dcterms:created>
  <dcterms:modified xsi:type="dcterms:W3CDTF">2015-03-31T16:23:00Z</dcterms:modified>
</cp:coreProperties>
</file>