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26" w:rsidRDefault="00145026" w:rsidP="00145026">
      <w:pPr>
        <w:pStyle w:val="a5"/>
        <w:spacing w:line="330" w:lineRule="atLeast"/>
        <w:jc w:val="center"/>
        <w:rPr>
          <w:rFonts w:cs="Tahoma"/>
          <w:b/>
          <w:bCs/>
          <w:color w:val="323232"/>
          <w:szCs w:val="28"/>
        </w:rPr>
      </w:pPr>
      <w:r>
        <w:rPr>
          <w:rFonts w:cs="Tahoma" w:hint="eastAsia"/>
          <w:b/>
          <w:bCs/>
          <w:color w:val="323232"/>
          <w:szCs w:val="28"/>
        </w:rPr>
        <w:t>万家基金管理有限公司关于增加</w:t>
      </w:r>
      <w:r w:rsidR="00BF7308">
        <w:rPr>
          <w:rFonts w:cs="Tahoma" w:hint="eastAsia"/>
          <w:b/>
          <w:bCs/>
          <w:color w:val="323232"/>
          <w:szCs w:val="28"/>
        </w:rPr>
        <w:t>中信证券</w:t>
      </w:r>
      <w:r>
        <w:rPr>
          <w:rFonts w:cs="Tahoma" w:hint="eastAsia"/>
          <w:b/>
          <w:bCs/>
          <w:color w:val="323232"/>
          <w:szCs w:val="28"/>
        </w:rPr>
        <w:t>为</w:t>
      </w:r>
      <w:r w:rsidR="00BF7308" w:rsidRPr="00BF7308">
        <w:rPr>
          <w:rFonts w:cs="Tahoma" w:hint="eastAsia"/>
          <w:b/>
          <w:bCs/>
          <w:color w:val="323232"/>
          <w:szCs w:val="28"/>
        </w:rPr>
        <w:t>万家添利债券型证券投资基金（LOF）</w:t>
      </w:r>
      <w:r>
        <w:rPr>
          <w:rFonts w:cs="Tahoma" w:hint="eastAsia"/>
          <w:b/>
          <w:bCs/>
          <w:color w:val="323232"/>
          <w:szCs w:val="28"/>
        </w:rPr>
        <w:t>代销机构的公告</w:t>
      </w:r>
    </w:p>
    <w:p w:rsidR="00EA1E8C" w:rsidRDefault="00EA1E8C" w:rsidP="004835EE">
      <w:pPr>
        <w:widowControl/>
        <w:spacing w:afterLines="50" w:line="460" w:lineRule="exact"/>
        <w:ind w:firstLineChars="200" w:firstLine="480"/>
        <w:rPr>
          <w:rFonts w:ascii="宋体" w:hAnsi="宋体" w:cs="Tahoma"/>
          <w:color w:val="333333"/>
          <w:kern w:val="0"/>
          <w:sz w:val="24"/>
          <w:szCs w:val="28"/>
        </w:rPr>
      </w:pP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>根据万家基金管理有限公司（以下简称"本公司"）与</w:t>
      </w:r>
      <w:r w:rsidR="00BF7308" w:rsidRPr="00BF7308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中信证券股份有限公司</w:t>
      </w: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>（以下简称 "</w:t>
      </w:r>
      <w:r w:rsidR="00BF7308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中信</w:t>
      </w:r>
      <w:r w:rsidR="00145026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证券</w:t>
      </w: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>"）签订的代销协议，</w:t>
      </w:r>
      <w:r w:rsidR="00BF7308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中信证券</w:t>
      </w: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>自201</w:t>
      </w:r>
      <w:r w:rsidRPr="00145026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4</w:t>
      </w: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>年</w:t>
      </w:r>
      <w:r w:rsidR="00BF7308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6</w:t>
      </w: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>月</w:t>
      </w:r>
      <w:r w:rsidR="00BF7308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6</w:t>
      </w: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>日起代理本公司旗下</w:t>
      </w:r>
      <w:r w:rsidR="00BF7308" w:rsidRPr="00BF7308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万家添利债券型证券投资基金（LOF）</w:t>
      </w: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>（基金简称：万家</w:t>
      </w:r>
      <w:r w:rsidR="00BF7308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添利</w:t>
      </w: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>，基金代码：</w:t>
      </w:r>
      <w:r w:rsidR="00BF7308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161908</w:t>
      </w: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>）的销售业务。投资者可在</w:t>
      </w:r>
      <w:r w:rsidR="00BF7308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中信证券</w:t>
      </w: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>办理基金的开户、申购、赎回等业务，业务办理的具体事宜请遵从</w:t>
      </w:r>
      <w:r w:rsidR="00BF7308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中信证券</w:t>
      </w: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>的相关规定。</w:t>
      </w:r>
      <w:r w:rsidR="00145026" w:rsidRPr="009E0AA9">
        <w:rPr>
          <w:rFonts w:ascii="宋体" w:hAnsi="宋体" w:cs="Tahoma" w:hint="eastAsia"/>
          <w:color w:val="333333"/>
          <w:kern w:val="0"/>
          <w:sz w:val="24"/>
          <w:szCs w:val="28"/>
        </w:rPr>
        <w:t>投资者可以通过以下途径咨询有关详情：</w:t>
      </w:r>
    </w:p>
    <w:p w:rsidR="00145026" w:rsidRPr="00145026" w:rsidRDefault="00145026" w:rsidP="004835EE">
      <w:pPr>
        <w:widowControl/>
        <w:spacing w:afterLines="50" w:line="460" w:lineRule="exact"/>
        <w:ind w:firstLineChars="200" w:firstLine="480"/>
        <w:rPr>
          <w:rFonts w:ascii="宋体" w:eastAsia="宋体" w:hAnsi="宋体" w:cs="Tahoma"/>
          <w:color w:val="333333"/>
          <w:kern w:val="0"/>
          <w:sz w:val="24"/>
          <w:szCs w:val="28"/>
        </w:rPr>
      </w:pPr>
    </w:p>
    <w:p w:rsidR="00EA1E8C" w:rsidRPr="00FF3247" w:rsidRDefault="00BF7308" w:rsidP="004835EE">
      <w:pPr>
        <w:pStyle w:val="a9"/>
        <w:widowControl/>
        <w:numPr>
          <w:ilvl w:val="0"/>
          <w:numId w:val="1"/>
        </w:numPr>
        <w:spacing w:afterLines="50" w:line="460" w:lineRule="exact"/>
        <w:ind w:firstLineChars="0"/>
        <w:rPr>
          <w:rFonts w:ascii="宋体" w:eastAsia="宋体" w:hAnsi="宋体" w:cs="Tahoma"/>
          <w:color w:val="333333"/>
          <w:kern w:val="0"/>
          <w:sz w:val="24"/>
          <w:szCs w:val="28"/>
        </w:rPr>
      </w:pPr>
      <w:r w:rsidRPr="00FF3247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中信证券</w:t>
      </w:r>
      <w:r w:rsidR="00ED4C2B" w:rsidRPr="00FF3247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股份有限公司</w:t>
      </w:r>
    </w:p>
    <w:p w:rsidR="00EA1E8C" w:rsidRPr="00145026" w:rsidRDefault="00EA1E8C" w:rsidP="004835EE">
      <w:pPr>
        <w:widowControl/>
        <w:spacing w:afterLines="50" w:line="460" w:lineRule="exact"/>
        <w:ind w:firstLineChars="200" w:firstLine="480"/>
        <w:rPr>
          <w:rFonts w:ascii="宋体" w:eastAsia="宋体" w:hAnsi="宋体" w:cs="Tahoma"/>
          <w:color w:val="333333"/>
          <w:kern w:val="0"/>
          <w:sz w:val="24"/>
          <w:szCs w:val="28"/>
        </w:rPr>
      </w:pPr>
      <w:bookmarkStart w:id="0" w:name="_GoBack"/>
      <w:bookmarkEnd w:id="0"/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 xml:space="preserve">客户服务电话： </w:t>
      </w:r>
      <w:r w:rsidR="00ED4C2B" w:rsidRPr="00ED4C2B">
        <w:rPr>
          <w:rFonts w:ascii="宋体" w:eastAsia="宋体" w:hAnsi="宋体" w:cs="Tahoma"/>
          <w:color w:val="333333"/>
          <w:kern w:val="0"/>
          <w:sz w:val="24"/>
          <w:szCs w:val="28"/>
        </w:rPr>
        <w:t>955</w:t>
      </w:r>
      <w:r w:rsidR="002F4A8C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48</w:t>
      </w:r>
    </w:p>
    <w:p w:rsidR="00EA1E8C" w:rsidRPr="00145026" w:rsidRDefault="00EA1E8C" w:rsidP="004835EE">
      <w:pPr>
        <w:widowControl/>
        <w:spacing w:afterLines="50" w:line="460" w:lineRule="exact"/>
        <w:ind w:firstLineChars="200" w:firstLine="480"/>
        <w:rPr>
          <w:rFonts w:ascii="宋体" w:eastAsia="宋体" w:hAnsi="宋体" w:cs="Tahoma"/>
          <w:color w:val="333333"/>
          <w:kern w:val="0"/>
          <w:sz w:val="24"/>
          <w:szCs w:val="28"/>
        </w:rPr>
      </w:pP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>网址：</w:t>
      </w:r>
      <w:r w:rsidR="005E726B">
        <w:rPr>
          <w:rFonts w:hint="eastAsia"/>
        </w:rPr>
        <w:t>www.cs.ecitic.com</w:t>
      </w:r>
    </w:p>
    <w:p w:rsidR="00EA1E8C" w:rsidRPr="00145026" w:rsidRDefault="00EA1E8C" w:rsidP="004835EE">
      <w:pPr>
        <w:widowControl/>
        <w:spacing w:afterLines="50" w:line="460" w:lineRule="exact"/>
        <w:ind w:firstLineChars="200" w:firstLine="480"/>
        <w:rPr>
          <w:rFonts w:ascii="宋体" w:eastAsia="宋体" w:hAnsi="宋体" w:cs="Tahoma"/>
          <w:color w:val="333333"/>
          <w:kern w:val="0"/>
          <w:sz w:val="24"/>
          <w:szCs w:val="28"/>
        </w:rPr>
      </w:pP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>2、万家基金管理有限公司</w:t>
      </w:r>
    </w:p>
    <w:p w:rsidR="00EA1E8C" w:rsidRPr="00145026" w:rsidRDefault="00EA1E8C" w:rsidP="004835EE">
      <w:pPr>
        <w:widowControl/>
        <w:spacing w:afterLines="50" w:line="460" w:lineRule="exact"/>
        <w:ind w:firstLineChars="200" w:firstLine="480"/>
        <w:rPr>
          <w:rFonts w:ascii="宋体" w:eastAsia="宋体" w:hAnsi="宋体" w:cs="Tahoma"/>
          <w:color w:val="333333"/>
          <w:kern w:val="0"/>
          <w:sz w:val="24"/>
          <w:szCs w:val="28"/>
        </w:rPr>
      </w:pP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>客户电话：95538转6、400-888-0800、(021)68644599</w:t>
      </w:r>
    </w:p>
    <w:p w:rsidR="00EA1E8C" w:rsidRPr="00F0338A" w:rsidRDefault="00EA1E8C" w:rsidP="004835EE">
      <w:pPr>
        <w:widowControl/>
        <w:spacing w:afterLines="50" w:line="460" w:lineRule="exact"/>
        <w:ind w:firstLineChars="200" w:firstLine="480"/>
        <w:rPr>
          <w:rFonts w:ascii="宋体" w:eastAsia="宋体" w:hAnsi="宋体" w:cs="Tahoma"/>
          <w:color w:val="333333"/>
          <w:kern w:val="0"/>
          <w:sz w:val="24"/>
          <w:szCs w:val="28"/>
        </w:rPr>
      </w:pPr>
      <w:r w:rsidRPr="00F0338A">
        <w:rPr>
          <w:rFonts w:ascii="宋体" w:eastAsia="宋体" w:hAnsi="宋体" w:cs="Tahoma"/>
          <w:color w:val="333333"/>
          <w:kern w:val="0"/>
          <w:sz w:val="24"/>
          <w:szCs w:val="28"/>
        </w:rPr>
        <w:t>客服传真：021-38619968</w:t>
      </w:r>
    </w:p>
    <w:p w:rsidR="00EA1E8C" w:rsidRPr="00F0338A" w:rsidRDefault="00EA1E8C" w:rsidP="004835EE">
      <w:pPr>
        <w:widowControl/>
        <w:spacing w:afterLines="50" w:line="460" w:lineRule="exact"/>
        <w:ind w:firstLineChars="200" w:firstLine="480"/>
        <w:rPr>
          <w:rFonts w:ascii="宋体" w:eastAsia="宋体" w:hAnsi="宋体" w:cs="Tahoma"/>
          <w:color w:val="333333"/>
          <w:kern w:val="0"/>
          <w:sz w:val="24"/>
          <w:szCs w:val="28"/>
        </w:rPr>
      </w:pPr>
      <w:r w:rsidRPr="00F0338A">
        <w:rPr>
          <w:rFonts w:ascii="宋体" w:eastAsia="宋体" w:hAnsi="宋体" w:cs="Tahoma"/>
          <w:color w:val="333333"/>
          <w:kern w:val="0"/>
          <w:sz w:val="24"/>
          <w:szCs w:val="28"/>
        </w:rPr>
        <w:t>网址：</w:t>
      </w:r>
      <w:hyperlink r:id="rId8" w:history="1">
        <w:r w:rsidRPr="00F0338A">
          <w:rPr>
            <w:rFonts w:ascii="宋体" w:eastAsia="宋体" w:hAnsi="宋体" w:cs="Tahoma"/>
            <w:color w:val="333333"/>
            <w:kern w:val="0"/>
            <w:sz w:val="24"/>
            <w:szCs w:val="28"/>
          </w:rPr>
          <w:t>www.wjasset.com</w:t>
        </w:r>
      </w:hyperlink>
    </w:p>
    <w:p w:rsidR="00145026" w:rsidRPr="00145026" w:rsidRDefault="00145026" w:rsidP="004835EE">
      <w:pPr>
        <w:widowControl/>
        <w:spacing w:afterLines="50" w:line="460" w:lineRule="exact"/>
        <w:ind w:firstLineChars="200" w:firstLine="480"/>
        <w:rPr>
          <w:rFonts w:ascii="宋体" w:eastAsia="宋体" w:hAnsi="宋体"/>
          <w:bCs/>
          <w:kern w:val="0"/>
          <w:sz w:val="24"/>
          <w:szCs w:val="28"/>
        </w:rPr>
      </w:pPr>
    </w:p>
    <w:p w:rsidR="00EA1E8C" w:rsidRPr="00F0338A" w:rsidRDefault="00EA1E8C" w:rsidP="004835EE">
      <w:pPr>
        <w:widowControl/>
        <w:spacing w:afterLines="50" w:line="460" w:lineRule="exact"/>
        <w:ind w:firstLineChars="200" w:firstLine="480"/>
        <w:rPr>
          <w:rFonts w:ascii="宋体" w:eastAsia="宋体" w:hAnsi="宋体" w:cs="Tahoma"/>
          <w:color w:val="333333"/>
          <w:kern w:val="0"/>
          <w:sz w:val="24"/>
          <w:szCs w:val="28"/>
        </w:rPr>
      </w:pPr>
      <w:r w:rsidRPr="00F0338A">
        <w:rPr>
          <w:rFonts w:ascii="宋体" w:eastAsia="宋体" w:hAnsi="宋体" w:cs="Tahoma"/>
          <w:color w:val="333333"/>
          <w:kern w:val="0"/>
          <w:sz w:val="24"/>
          <w:szCs w:val="28"/>
        </w:rPr>
        <w:t>风险提示：投资者欲了解</w:t>
      </w:r>
      <w:r w:rsidR="00E0711C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该</w:t>
      </w:r>
      <w:r w:rsidRPr="00F0338A">
        <w:rPr>
          <w:rFonts w:ascii="宋体" w:eastAsia="宋体" w:hAnsi="宋体" w:cs="Tahoma"/>
          <w:color w:val="333333"/>
          <w:kern w:val="0"/>
          <w:sz w:val="24"/>
          <w:szCs w:val="28"/>
        </w:rPr>
        <w:t>基金详细情况，请参看基金的《基金合同》和《招募说明书》，基金管理人不承诺基金投资最低收益、也不保证基金投资一定赢利，请投资者在充分考虑风险的情况下谨慎作出投资决策。</w:t>
      </w:r>
    </w:p>
    <w:p w:rsidR="00EA1E8C" w:rsidRPr="00F0338A" w:rsidRDefault="00EA1E8C" w:rsidP="004835EE">
      <w:pPr>
        <w:widowControl/>
        <w:spacing w:afterLines="50" w:line="460" w:lineRule="exact"/>
        <w:ind w:firstLineChars="200" w:firstLine="480"/>
        <w:rPr>
          <w:rFonts w:ascii="宋体" w:eastAsia="宋体" w:hAnsi="宋体" w:cs="Tahoma"/>
          <w:color w:val="333333"/>
          <w:kern w:val="0"/>
          <w:sz w:val="24"/>
          <w:szCs w:val="28"/>
        </w:rPr>
      </w:pPr>
      <w:r w:rsidRPr="00F0338A">
        <w:rPr>
          <w:rFonts w:ascii="宋体" w:eastAsia="宋体" w:hAnsi="宋体" w:cs="Tahoma"/>
          <w:color w:val="333333"/>
          <w:kern w:val="0"/>
          <w:sz w:val="24"/>
          <w:szCs w:val="28"/>
        </w:rPr>
        <w:t>特此公告。</w:t>
      </w:r>
    </w:p>
    <w:p w:rsidR="00EA1E8C" w:rsidRPr="00145026" w:rsidRDefault="00EA1E8C" w:rsidP="004835EE">
      <w:pPr>
        <w:widowControl/>
        <w:spacing w:afterLines="50" w:line="460" w:lineRule="exact"/>
        <w:ind w:firstLineChars="200" w:firstLine="480"/>
        <w:jc w:val="right"/>
        <w:rPr>
          <w:rFonts w:ascii="宋体" w:eastAsia="宋体" w:hAnsi="宋体"/>
          <w:bCs/>
          <w:kern w:val="0"/>
          <w:sz w:val="24"/>
          <w:szCs w:val="28"/>
        </w:rPr>
      </w:pPr>
      <w:r w:rsidRPr="00145026">
        <w:rPr>
          <w:rFonts w:ascii="宋体" w:eastAsia="宋体" w:hAnsi="宋体"/>
          <w:bCs/>
          <w:kern w:val="0"/>
          <w:sz w:val="24"/>
          <w:szCs w:val="28"/>
        </w:rPr>
        <w:t>万家基金管理有限公司</w:t>
      </w:r>
      <w:r w:rsidRPr="00145026">
        <w:rPr>
          <w:rFonts w:ascii="宋体" w:eastAsia="宋体" w:hAnsi="宋体"/>
          <w:bCs/>
          <w:kern w:val="0"/>
          <w:sz w:val="24"/>
          <w:szCs w:val="28"/>
        </w:rPr>
        <w:br/>
      </w:r>
      <w:r w:rsidR="00145026" w:rsidRPr="009E0AA9">
        <w:rPr>
          <w:rFonts w:ascii="宋体" w:hAnsi="宋体" w:cs="Tahoma" w:hint="eastAsia"/>
          <w:color w:val="333333"/>
          <w:kern w:val="0"/>
          <w:sz w:val="24"/>
          <w:szCs w:val="28"/>
        </w:rPr>
        <w:t>二〇一</w:t>
      </w:r>
      <w:r w:rsidR="00145026">
        <w:rPr>
          <w:rFonts w:ascii="宋体" w:hAnsi="宋体" w:cs="Tahoma" w:hint="eastAsia"/>
          <w:color w:val="333333"/>
          <w:kern w:val="0"/>
          <w:sz w:val="24"/>
          <w:szCs w:val="28"/>
        </w:rPr>
        <w:t>四</w:t>
      </w:r>
      <w:r w:rsidRPr="00145026">
        <w:rPr>
          <w:rFonts w:ascii="宋体" w:eastAsia="宋体" w:hAnsi="宋体"/>
          <w:bCs/>
          <w:kern w:val="0"/>
          <w:sz w:val="24"/>
          <w:szCs w:val="28"/>
        </w:rPr>
        <w:t>年</w:t>
      </w:r>
      <w:r w:rsidR="005E726B">
        <w:rPr>
          <w:rFonts w:ascii="宋体" w:eastAsia="宋体" w:hAnsi="宋体" w:hint="eastAsia"/>
          <w:bCs/>
          <w:kern w:val="0"/>
          <w:sz w:val="24"/>
          <w:szCs w:val="28"/>
        </w:rPr>
        <w:t>六</w:t>
      </w:r>
      <w:r w:rsidRPr="00145026">
        <w:rPr>
          <w:rFonts w:ascii="宋体" w:eastAsia="宋体" w:hAnsi="宋体"/>
          <w:bCs/>
          <w:kern w:val="0"/>
          <w:sz w:val="24"/>
          <w:szCs w:val="28"/>
        </w:rPr>
        <w:t>月</w:t>
      </w:r>
      <w:r w:rsidR="005E726B">
        <w:rPr>
          <w:rFonts w:ascii="宋体" w:eastAsia="宋体" w:hAnsi="宋体" w:hint="eastAsia"/>
          <w:bCs/>
          <w:kern w:val="0"/>
          <w:sz w:val="24"/>
          <w:szCs w:val="28"/>
        </w:rPr>
        <w:t>六</w:t>
      </w:r>
      <w:r w:rsidRPr="00145026">
        <w:rPr>
          <w:rFonts w:ascii="宋体" w:eastAsia="宋体" w:hAnsi="宋体"/>
          <w:bCs/>
          <w:kern w:val="0"/>
          <w:sz w:val="24"/>
          <w:szCs w:val="28"/>
        </w:rPr>
        <w:t>日</w:t>
      </w:r>
    </w:p>
    <w:p w:rsidR="00B644BD" w:rsidRPr="00EA1E8C" w:rsidRDefault="004C7A20"/>
    <w:sectPr w:rsidR="00B644BD" w:rsidRPr="00EA1E8C" w:rsidSect="00A01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A20" w:rsidRDefault="004C7A20" w:rsidP="00ED4C2B">
      <w:r>
        <w:separator/>
      </w:r>
    </w:p>
  </w:endnote>
  <w:endnote w:type="continuationSeparator" w:id="1">
    <w:p w:rsidR="004C7A20" w:rsidRDefault="004C7A20" w:rsidP="00ED4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A20" w:rsidRDefault="004C7A20" w:rsidP="00ED4C2B">
      <w:r>
        <w:separator/>
      </w:r>
    </w:p>
  </w:footnote>
  <w:footnote w:type="continuationSeparator" w:id="1">
    <w:p w:rsidR="004C7A20" w:rsidRDefault="004C7A20" w:rsidP="00ED4C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930FD"/>
    <w:multiLevelType w:val="hybridMultilevel"/>
    <w:tmpl w:val="2932A666"/>
    <w:lvl w:ilvl="0" w:tplc="67E09DB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1E8C"/>
    <w:rsid w:val="00034B49"/>
    <w:rsid w:val="000C3419"/>
    <w:rsid w:val="00145026"/>
    <w:rsid w:val="001F5CE7"/>
    <w:rsid w:val="002D023B"/>
    <w:rsid w:val="002F4A8C"/>
    <w:rsid w:val="004835EE"/>
    <w:rsid w:val="004C7A20"/>
    <w:rsid w:val="00510ED6"/>
    <w:rsid w:val="005B1C80"/>
    <w:rsid w:val="005E726B"/>
    <w:rsid w:val="006776F5"/>
    <w:rsid w:val="007621B6"/>
    <w:rsid w:val="00A01C28"/>
    <w:rsid w:val="00BF7308"/>
    <w:rsid w:val="00E03E30"/>
    <w:rsid w:val="00E0711C"/>
    <w:rsid w:val="00EA1E8C"/>
    <w:rsid w:val="00ED4C2B"/>
    <w:rsid w:val="00F0338A"/>
    <w:rsid w:val="00F63972"/>
    <w:rsid w:val="00FF3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E8C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EA1E8C"/>
    <w:rPr>
      <w:b/>
      <w:bCs/>
    </w:rPr>
  </w:style>
  <w:style w:type="paragraph" w:styleId="a5">
    <w:name w:val="Normal (Web)"/>
    <w:basedOn w:val="a"/>
    <w:uiPriority w:val="99"/>
    <w:semiHidden/>
    <w:unhideWhenUsed/>
    <w:rsid w:val="00EA1E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ED4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D4C2B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D4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D4C2B"/>
    <w:rPr>
      <w:sz w:val="18"/>
      <w:szCs w:val="18"/>
    </w:rPr>
  </w:style>
  <w:style w:type="paragraph" w:styleId="a8">
    <w:name w:val="Plain Text"/>
    <w:basedOn w:val="a"/>
    <w:link w:val="Char1"/>
    <w:uiPriority w:val="99"/>
    <w:unhideWhenUsed/>
    <w:rsid w:val="00ED4C2B"/>
    <w:pPr>
      <w:jc w:val="left"/>
    </w:pPr>
    <w:rPr>
      <w:rFonts w:ascii="Calibri" w:eastAsia="宋体" w:hAnsi="Courier New" w:cs="Courier New"/>
      <w:szCs w:val="21"/>
    </w:rPr>
  </w:style>
  <w:style w:type="character" w:customStyle="1" w:styleId="Char1">
    <w:name w:val="纯文本 Char"/>
    <w:basedOn w:val="a0"/>
    <w:link w:val="a8"/>
    <w:uiPriority w:val="99"/>
    <w:rsid w:val="00ED4C2B"/>
    <w:rPr>
      <w:rFonts w:ascii="Calibri" w:eastAsia="宋体" w:hAnsi="Courier New" w:cs="Courier New"/>
      <w:szCs w:val="21"/>
    </w:rPr>
  </w:style>
  <w:style w:type="paragraph" w:styleId="a9">
    <w:name w:val="List Paragraph"/>
    <w:basedOn w:val="a"/>
    <w:uiPriority w:val="34"/>
    <w:qFormat/>
    <w:rsid w:val="00FF3247"/>
    <w:pPr>
      <w:ind w:firstLineChars="200" w:firstLine="420"/>
    </w:pPr>
  </w:style>
  <w:style w:type="paragraph" w:styleId="aa">
    <w:name w:val="Balloon Text"/>
    <w:basedOn w:val="a"/>
    <w:link w:val="Char2"/>
    <w:uiPriority w:val="99"/>
    <w:semiHidden/>
    <w:unhideWhenUsed/>
    <w:rsid w:val="00E0711C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E071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E8C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EA1E8C"/>
    <w:rPr>
      <w:b/>
      <w:bCs/>
    </w:rPr>
  </w:style>
  <w:style w:type="paragraph" w:styleId="a5">
    <w:name w:val="Normal (Web)"/>
    <w:basedOn w:val="a"/>
    <w:uiPriority w:val="99"/>
    <w:semiHidden/>
    <w:unhideWhenUsed/>
    <w:rsid w:val="00EA1E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ED4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D4C2B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D4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D4C2B"/>
    <w:rPr>
      <w:sz w:val="18"/>
      <w:szCs w:val="18"/>
    </w:rPr>
  </w:style>
  <w:style w:type="paragraph" w:styleId="a8">
    <w:name w:val="Plain Text"/>
    <w:basedOn w:val="a"/>
    <w:link w:val="Char1"/>
    <w:uiPriority w:val="99"/>
    <w:unhideWhenUsed/>
    <w:rsid w:val="00ED4C2B"/>
    <w:pPr>
      <w:jc w:val="left"/>
    </w:pPr>
    <w:rPr>
      <w:rFonts w:ascii="Calibri" w:eastAsia="宋体" w:hAnsi="Courier New" w:cs="Courier New"/>
      <w:szCs w:val="21"/>
    </w:rPr>
  </w:style>
  <w:style w:type="character" w:customStyle="1" w:styleId="Char1">
    <w:name w:val="纯文本 Char"/>
    <w:basedOn w:val="a0"/>
    <w:link w:val="a8"/>
    <w:uiPriority w:val="99"/>
    <w:rsid w:val="00ED4C2B"/>
    <w:rPr>
      <w:rFonts w:ascii="Calibri" w:eastAsia="宋体" w:hAnsi="Courier New" w:cs="Courier New"/>
      <w:szCs w:val="21"/>
    </w:rPr>
  </w:style>
  <w:style w:type="paragraph" w:styleId="a9">
    <w:name w:val="List Paragraph"/>
    <w:basedOn w:val="a"/>
    <w:uiPriority w:val="34"/>
    <w:qFormat/>
    <w:rsid w:val="00FF324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jass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6A0EC-C438-4F85-BD7F-6BC499561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caoyf</dc:creator>
  <cp:lastModifiedBy>张怡</cp:lastModifiedBy>
  <cp:revision>8</cp:revision>
  <dcterms:created xsi:type="dcterms:W3CDTF">2014-06-04T03:30:00Z</dcterms:created>
  <dcterms:modified xsi:type="dcterms:W3CDTF">2014-06-05T08:12:00Z</dcterms:modified>
</cp:coreProperties>
</file>