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D2" w:rsidRDefault="008A31A5" w:rsidP="000741F5">
      <w:pPr>
        <w:ind w:firstLineChars="0" w:firstLine="0"/>
        <w:jc w:val="center"/>
        <w:rPr>
          <w:rFonts w:ascii="黑体" w:eastAsia="黑体" w:hAnsi="黑体"/>
          <w:kern w:val="36"/>
          <w:sz w:val="36"/>
          <w:szCs w:val="36"/>
        </w:rPr>
      </w:pPr>
      <w:r>
        <w:rPr>
          <w:rFonts w:ascii="黑体" w:eastAsia="黑体" w:hAnsi="黑体" w:hint="eastAsia"/>
          <w:kern w:val="36"/>
          <w:sz w:val="36"/>
          <w:szCs w:val="36"/>
        </w:rPr>
        <w:t>万家添利</w:t>
      </w:r>
      <w:r w:rsidR="000A0AD2" w:rsidRPr="008A31A5">
        <w:rPr>
          <w:rFonts w:ascii="黑体" w:eastAsia="黑体" w:hAnsi="黑体" w:hint="eastAsia"/>
          <w:kern w:val="36"/>
          <w:sz w:val="36"/>
          <w:szCs w:val="36"/>
        </w:rPr>
        <w:t>债券型证券投资基金（LOF）开放</w:t>
      </w:r>
      <w:r w:rsidR="000741F5">
        <w:rPr>
          <w:rFonts w:ascii="黑体" w:eastAsia="黑体" w:hAnsi="黑体" w:hint="eastAsia"/>
          <w:kern w:val="36"/>
          <w:sz w:val="36"/>
          <w:szCs w:val="36"/>
        </w:rPr>
        <w:t>日常</w:t>
      </w:r>
      <w:r w:rsidR="000A0AD2" w:rsidRPr="008A31A5">
        <w:rPr>
          <w:rFonts w:ascii="黑体" w:eastAsia="黑体" w:hAnsi="黑体" w:hint="eastAsia"/>
          <w:kern w:val="36"/>
          <w:sz w:val="36"/>
          <w:szCs w:val="36"/>
        </w:rPr>
        <w:t>申购、赎回</w:t>
      </w:r>
      <w:r w:rsidR="000741F5">
        <w:rPr>
          <w:rFonts w:ascii="黑体" w:eastAsia="黑体" w:hAnsi="黑体" w:hint="eastAsia"/>
          <w:kern w:val="36"/>
          <w:sz w:val="36"/>
          <w:szCs w:val="36"/>
        </w:rPr>
        <w:t>、转换和定期定额投资</w:t>
      </w:r>
      <w:r w:rsidR="009A348F">
        <w:rPr>
          <w:rFonts w:ascii="黑体" w:eastAsia="黑体" w:hAnsi="黑体" w:hint="eastAsia"/>
          <w:kern w:val="36"/>
          <w:sz w:val="36"/>
          <w:szCs w:val="36"/>
        </w:rPr>
        <w:t>及转托管业务</w:t>
      </w:r>
      <w:r w:rsidR="00F131FE">
        <w:rPr>
          <w:rFonts w:ascii="黑体" w:eastAsia="黑体" w:hAnsi="黑体" w:hint="eastAsia"/>
          <w:kern w:val="36"/>
          <w:sz w:val="36"/>
          <w:szCs w:val="36"/>
        </w:rPr>
        <w:t>的</w:t>
      </w:r>
      <w:r w:rsidR="000A0AD2" w:rsidRPr="008A31A5">
        <w:rPr>
          <w:rFonts w:ascii="黑体" w:eastAsia="黑体" w:hAnsi="黑体" w:hint="eastAsia"/>
          <w:kern w:val="36"/>
          <w:sz w:val="36"/>
          <w:szCs w:val="36"/>
        </w:rPr>
        <w:t>公告</w:t>
      </w:r>
    </w:p>
    <w:p w:rsidR="000741F5" w:rsidRPr="000741F5" w:rsidRDefault="000741F5" w:rsidP="000741F5">
      <w:pPr>
        <w:widowControl/>
        <w:ind w:firstLineChars="0" w:firstLine="0"/>
        <w:jc w:val="center"/>
        <w:rPr>
          <w:kern w:val="0"/>
        </w:rPr>
      </w:pPr>
      <w:bookmarkStart w:id="0" w:name="_Toc249263618"/>
      <w:r w:rsidRPr="000741F5">
        <w:rPr>
          <w:kern w:val="0"/>
        </w:rPr>
        <w:t>公告送出日期：</w:t>
      </w:r>
      <w:r w:rsidRPr="000741F5">
        <w:rPr>
          <w:kern w:val="0"/>
        </w:rPr>
        <w:t>201</w:t>
      </w:r>
      <w:r w:rsidRPr="000741F5">
        <w:rPr>
          <w:rFonts w:hint="eastAsia"/>
          <w:kern w:val="0"/>
        </w:rPr>
        <w:t>4</w:t>
      </w:r>
      <w:r w:rsidRPr="000741F5">
        <w:rPr>
          <w:kern w:val="0"/>
        </w:rPr>
        <w:t>年</w:t>
      </w:r>
      <w:r>
        <w:rPr>
          <w:rFonts w:hint="eastAsia"/>
          <w:kern w:val="0"/>
        </w:rPr>
        <w:t>6</w:t>
      </w:r>
      <w:r w:rsidRPr="000741F5">
        <w:rPr>
          <w:kern w:val="0"/>
        </w:rPr>
        <w:t>月</w:t>
      </w:r>
      <w:r w:rsidR="002635FF">
        <w:rPr>
          <w:rFonts w:hint="eastAsia"/>
          <w:kern w:val="0"/>
        </w:rPr>
        <w:t>5</w:t>
      </w:r>
      <w:r w:rsidRPr="000741F5">
        <w:rPr>
          <w:kern w:val="0"/>
        </w:rPr>
        <w:t>日</w:t>
      </w:r>
    </w:p>
    <w:p w:rsidR="000A0AD2" w:rsidRPr="000A0AD2" w:rsidRDefault="000A0AD2" w:rsidP="00800111">
      <w:pPr>
        <w:pStyle w:val="5"/>
        <w:rPr>
          <w:szCs w:val="21"/>
        </w:rPr>
      </w:pPr>
      <w:r w:rsidRPr="000A0AD2">
        <w:rPr>
          <w:rFonts w:hint="eastAsia"/>
        </w:rPr>
        <w:t>1</w:t>
      </w:r>
      <w:bookmarkEnd w:id="0"/>
      <w:r w:rsidRPr="000A0AD2">
        <w:rPr>
          <w:rFonts w:hint="eastAsia"/>
        </w:rPr>
        <w:t>、公告基本信息</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987"/>
        <w:gridCol w:w="5578"/>
      </w:tblGrid>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基金名称</w:t>
            </w:r>
          </w:p>
        </w:tc>
        <w:tc>
          <w:tcPr>
            <w:tcW w:w="5578" w:type="dxa"/>
            <w:shd w:val="clear" w:color="auto" w:fill="auto"/>
            <w:tcMar>
              <w:top w:w="0" w:type="dxa"/>
              <w:left w:w="108" w:type="dxa"/>
              <w:bottom w:w="0" w:type="dxa"/>
              <w:right w:w="108" w:type="dxa"/>
            </w:tcMar>
            <w:hideMark/>
          </w:tcPr>
          <w:p w:rsidR="000A0AD2" w:rsidRPr="000A0AD2" w:rsidRDefault="007D24B0" w:rsidP="000A0AD2">
            <w:pPr>
              <w:ind w:firstLine="420"/>
              <w:rPr>
                <w:kern w:val="0"/>
                <w:szCs w:val="21"/>
              </w:rPr>
            </w:pPr>
            <w:r>
              <w:rPr>
                <w:rFonts w:hint="eastAsia"/>
                <w:kern w:val="0"/>
                <w:szCs w:val="21"/>
              </w:rPr>
              <w:t>万家添利</w:t>
            </w:r>
            <w:r w:rsidR="000A0AD2" w:rsidRPr="000A0AD2">
              <w:rPr>
                <w:rFonts w:hint="eastAsia"/>
                <w:kern w:val="0"/>
                <w:szCs w:val="21"/>
              </w:rPr>
              <w:t>债券型证券投资基金（</w:t>
            </w:r>
            <w:r w:rsidR="000A0AD2" w:rsidRPr="000A0AD2">
              <w:rPr>
                <w:rFonts w:hint="eastAsia"/>
                <w:kern w:val="0"/>
                <w:szCs w:val="21"/>
              </w:rPr>
              <w:t>LOF</w:t>
            </w:r>
            <w:r w:rsidR="000A0AD2" w:rsidRPr="000A0AD2">
              <w:rPr>
                <w:rFonts w:hint="eastAsia"/>
                <w:kern w:val="0"/>
                <w:szCs w:val="21"/>
              </w:rPr>
              <w:t>）</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基金简称</w:t>
            </w:r>
          </w:p>
        </w:tc>
        <w:tc>
          <w:tcPr>
            <w:tcW w:w="5578" w:type="dxa"/>
            <w:shd w:val="clear" w:color="auto" w:fill="auto"/>
            <w:tcMar>
              <w:top w:w="0" w:type="dxa"/>
              <w:left w:w="108" w:type="dxa"/>
              <w:bottom w:w="0" w:type="dxa"/>
              <w:right w:w="108" w:type="dxa"/>
            </w:tcMar>
            <w:hideMark/>
          </w:tcPr>
          <w:p w:rsidR="000A0AD2" w:rsidRPr="000A0AD2" w:rsidRDefault="007D24B0" w:rsidP="000A0AD2">
            <w:pPr>
              <w:ind w:firstLine="420"/>
              <w:rPr>
                <w:kern w:val="0"/>
                <w:szCs w:val="21"/>
              </w:rPr>
            </w:pPr>
            <w:r>
              <w:rPr>
                <w:rFonts w:hint="eastAsia"/>
                <w:kern w:val="0"/>
                <w:szCs w:val="21"/>
              </w:rPr>
              <w:t>万家添利</w:t>
            </w:r>
            <w:r w:rsidR="000A0AD2" w:rsidRPr="000A0AD2">
              <w:rPr>
                <w:rFonts w:hint="eastAsia"/>
                <w:kern w:val="0"/>
                <w:szCs w:val="21"/>
              </w:rPr>
              <w:t>债券（</w:t>
            </w:r>
            <w:r w:rsidR="000A0AD2" w:rsidRPr="000A0AD2">
              <w:rPr>
                <w:rFonts w:hint="eastAsia"/>
                <w:kern w:val="0"/>
                <w:szCs w:val="21"/>
              </w:rPr>
              <w:t>LOF</w:t>
            </w:r>
            <w:r w:rsidR="000A0AD2" w:rsidRPr="000A0AD2">
              <w:rPr>
                <w:rFonts w:hint="eastAsia"/>
                <w:kern w:val="0"/>
                <w:szCs w:val="21"/>
              </w:rPr>
              <w:t>）（场内简称：</w:t>
            </w:r>
            <w:r>
              <w:rPr>
                <w:rFonts w:hint="eastAsia"/>
                <w:kern w:val="0"/>
                <w:szCs w:val="21"/>
              </w:rPr>
              <w:t>万家添利</w:t>
            </w:r>
            <w:r w:rsidR="000A0AD2" w:rsidRPr="000A0AD2">
              <w:rPr>
                <w:rFonts w:hint="eastAsia"/>
                <w:kern w:val="0"/>
                <w:szCs w:val="21"/>
              </w:rPr>
              <w:t>）</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基金主代码</w:t>
            </w:r>
          </w:p>
        </w:tc>
        <w:tc>
          <w:tcPr>
            <w:tcW w:w="5578" w:type="dxa"/>
            <w:shd w:val="clear" w:color="auto" w:fill="auto"/>
            <w:tcMar>
              <w:top w:w="0" w:type="dxa"/>
              <w:left w:w="108" w:type="dxa"/>
              <w:bottom w:w="0" w:type="dxa"/>
              <w:right w:w="108" w:type="dxa"/>
            </w:tcMar>
            <w:hideMark/>
          </w:tcPr>
          <w:p w:rsidR="000A0AD2" w:rsidRPr="000A0AD2" w:rsidRDefault="007D24B0" w:rsidP="000A0AD2">
            <w:pPr>
              <w:ind w:firstLine="420"/>
              <w:rPr>
                <w:kern w:val="0"/>
                <w:szCs w:val="21"/>
              </w:rPr>
            </w:pPr>
            <w:r>
              <w:rPr>
                <w:rFonts w:hint="eastAsia"/>
                <w:kern w:val="0"/>
                <w:szCs w:val="21"/>
              </w:rPr>
              <w:t>161908</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基金运作方式</w:t>
            </w:r>
          </w:p>
        </w:tc>
        <w:tc>
          <w:tcPr>
            <w:tcW w:w="5578"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契约型</w:t>
            </w:r>
            <w:r w:rsidR="007D24B0">
              <w:rPr>
                <w:rFonts w:hint="eastAsia"/>
                <w:kern w:val="0"/>
                <w:szCs w:val="21"/>
              </w:rPr>
              <w:t>开放式</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基金合同生效日</w:t>
            </w:r>
          </w:p>
        </w:tc>
        <w:tc>
          <w:tcPr>
            <w:tcW w:w="5578" w:type="dxa"/>
            <w:shd w:val="clear" w:color="auto" w:fill="auto"/>
            <w:tcMar>
              <w:top w:w="0" w:type="dxa"/>
              <w:left w:w="108" w:type="dxa"/>
              <w:bottom w:w="0" w:type="dxa"/>
              <w:right w:w="108" w:type="dxa"/>
            </w:tcMar>
            <w:hideMark/>
          </w:tcPr>
          <w:p w:rsidR="000A0AD2" w:rsidRPr="000A0AD2" w:rsidRDefault="000A0AD2" w:rsidP="007D24B0">
            <w:pPr>
              <w:ind w:firstLine="420"/>
              <w:rPr>
                <w:kern w:val="0"/>
                <w:szCs w:val="21"/>
              </w:rPr>
            </w:pPr>
            <w:r w:rsidRPr="000A0AD2">
              <w:rPr>
                <w:rFonts w:hint="eastAsia"/>
                <w:kern w:val="0"/>
                <w:szCs w:val="21"/>
              </w:rPr>
              <w:t>2011</w:t>
            </w:r>
            <w:r w:rsidRPr="000A0AD2">
              <w:rPr>
                <w:rFonts w:hint="eastAsia"/>
                <w:kern w:val="0"/>
                <w:szCs w:val="21"/>
              </w:rPr>
              <w:t>年</w:t>
            </w:r>
            <w:r w:rsidR="007D24B0">
              <w:rPr>
                <w:rFonts w:hint="eastAsia"/>
                <w:kern w:val="0"/>
                <w:szCs w:val="21"/>
              </w:rPr>
              <w:t>6</w:t>
            </w:r>
            <w:r w:rsidRPr="000A0AD2">
              <w:rPr>
                <w:rFonts w:hint="eastAsia"/>
                <w:kern w:val="0"/>
                <w:szCs w:val="21"/>
              </w:rPr>
              <w:t>月</w:t>
            </w:r>
            <w:r w:rsidR="007D24B0">
              <w:rPr>
                <w:rFonts w:hint="eastAsia"/>
                <w:kern w:val="0"/>
                <w:szCs w:val="21"/>
              </w:rPr>
              <w:t>2</w:t>
            </w:r>
            <w:r w:rsidRPr="000A0AD2">
              <w:rPr>
                <w:rFonts w:hint="eastAsia"/>
                <w:kern w:val="0"/>
                <w:szCs w:val="21"/>
              </w:rPr>
              <w:t>日</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基金管理人名称</w:t>
            </w:r>
          </w:p>
        </w:tc>
        <w:tc>
          <w:tcPr>
            <w:tcW w:w="5578" w:type="dxa"/>
            <w:shd w:val="clear" w:color="auto" w:fill="auto"/>
            <w:tcMar>
              <w:top w:w="0" w:type="dxa"/>
              <w:left w:w="108" w:type="dxa"/>
              <w:bottom w:w="0" w:type="dxa"/>
              <w:right w:w="108" w:type="dxa"/>
            </w:tcMar>
            <w:hideMark/>
          </w:tcPr>
          <w:p w:rsidR="000A0AD2" w:rsidRPr="000A0AD2" w:rsidRDefault="007D24B0" w:rsidP="000A0AD2">
            <w:pPr>
              <w:ind w:firstLine="420"/>
              <w:rPr>
                <w:kern w:val="0"/>
                <w:szCs w:val="21"/>
              </w:rPr>
            </w:pPr>
            <w:r>
              <w:rPr>
                <w:rFonts w:hint="eastAsia"/>
                <w:kern w:val="0"/>
                <w:szCs w:val="21"/>
              </w:rPr>
              <w:t>万家</w:t>
            </w:r>
            <w:r w:rsidR="000A0AD2" w:rsidRPr="000A0AD2">
              <w:rPr>
                <w:rFonts w:hint="eastAsia"/>
                <w:kern w:val="0"/>
                <w:szCs w:val="21"/>
              </w:rPr>
              <w:t>基金管理有限公司</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基金托管人名称</w:t>
            </w:r>
          </w:p>
        </w:tc>
        <w:tc>
          <w:tcPr>
            <w:tcW w:w="5578" w:type="dxa"/>
            <w:shd w:val="clear" w:color="auto" w:fill="auto"/>
            <w:tcMar>
              <w:top w:w="0" w:type="dxa"/>
              <w:left w:w="108" w:type="dxa"/>
              <w:bottom w:w="0" w:type="dxa"/>
              <w:right w:w="108" w:type="dxa"/>
            </w:tcMar>
            <w:hideMark/>
          </w:tcPr>
          <w:p w:rsidR="000A0AD2" w:rsidRPr="000A0AD2" w:rsidRDefault="000A0AD2" w:rsidP="007D24B0">
            <w:pPr>
              <w:ind w:firstLine="420"/>
              <w:rPr>
                <w:kern w:val="0"/>
                <w:szCs w:val="21"/>
              </w:rPr>
            </w:pPr>
            <w:r w:rsidRPr="000A0AD2">
              <w:rPr>
                <w:rFonts w:hint="eastAsia"/>
                <w:kern w:val="0"/>
                <w:szCs w:val="21"/>
              </w:rPr>
              <w:t>中国</w:t>
            </w:r>
            <w:r w:rsidR="007D24B0">
              <w:rPr>
                <w:rFonts w:hint="eastAsia"/>
                <w:kern w:val="0"/>
                <w:szCs w:val="21"/>
              </w:rPr>
              <w:t>邮政储蓄</w:t>
            </w:r>
            <w:r w:rsidRPr="000A0AD2">
              <w:rPr>
                <w:rFonts w:hint="eastAsia"/>
                <w:kern w:val="0"/>
                <w:szCs w:val="21"/>
              </w:rPr>
              <w:t>银行股份有限公司</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基金注册登记机构名称</w:t>
            </w:r>
          </w:p>
        </w:tc>
        <w:tc>
          <w:tcPr>
            <w:tcW w:w="5578"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中国证券登记结算有限责任公司</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公告依据</w:t>
            </w:r>
          </w:p>
        </w:tc>
        <w:tc>
          <w:tcPr>
            <w:tcW w:w="5578"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《中华人民共和国证券投资基金法》及配套法规、《</w:t>
            </w:r>
            <w:r w:rsidR="007D24B0">
              <w:rPr>
                <w:rFonts w:hint="eastAsia"/>
                <w:kern w:val="0"/>
                <w:szCs w:val="21"/>
              </w:rPr>
              <w:t>万家添利</w:t>
            </w:r>
            <w:r w:rsidRPr="000A0AD2">
              <w:rPr>
                <w:rFonts w:hint="eastAsia"/>
                <w:kern w:val="0"/>
                <w:szCs w:val="21"/>
              </w:rPr>
              <w:t>分级债券型证券投资基金基金合同》、《</w:t>
            </w:r>
            <w:r w:rsidR="007D24B0">
              <w:rPr>
                <w:rFonts w:hint="eastAsia"/>
                <w:kern w:val="0"/>
                <w:szCs w:val="21"/>
              </w:rPr>
              <w:t>万家添利</w:t>
            </w:r>
            <w:r w:rsidRPr="000A0AD2">
              <w:rPr>
                <w:rFonts w:hint="eastAsia"/>
                <w:kern w:val="0"/>
                <w:szCs w:val="21"/>
              </w:rPr>
              <w:t>分级债券型证券投资基金招募说明书》</w:t>
            </w:r>
          </w:p>
        </w:tc>
      </w:tr>
      <w:tr w:rsidR="000A0AD2" w:rsidRPr="000A0AD2" w:rsidTr="000741F5">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申购起始日</w:t>
            </w:r>
          </w:p>
        </w:tc>
        <w:tc>
          <w:tcPr>
            <w:tcW w:w="5578" w:type="dxa"/>
            <w:shd w:val="clear" w:color="auto" w:fill="auto"/>
            <w:tcMar>
              <w:top w:w="0" w:type="dxa"/>
              <w:left w:w="108" w:type="dxa"/>
              <w:bottom w:w="0" w:type="dxa"/>
              <w:right w:w="108" w:type="dxa"/>
            </w:tcMar>
            <w:hideMark/>
          </w:tcPr>
          <w:p w:rsidR="000A0AD2" w:rsidRPr="000A0AD2" w:rsidRDefault="000A0AD2" w:rsidP="007D24B0">
            <w:pPr>
              <w:ind w:firstLine="420"/>
              <w:rPr>
                <w:kern w:val="0"/>
                <w:szCs w:val="21"/>
              </w:rPr>
            </w:pPr>
            <w:r w:rsidRPr="000A0AD2">
              <w:rPr>
                <w:rFonts w:hint="eastAsia"/>
                <w:kern w:val="0"/>
                <w:szCs w:val="21"/>
              </w:rPr>
              <w:t>2014</w:t>
            </w:r>
            <w:r w:rsidRPr="000A0AD2">
              <w:rPr>
                <w:rFonts w:hint="eastAsia"/>
                <w:kern w:val="0"/>
                <w:szCs w:val="21"/>
              </w:rPr>
              <w:t>年</w:t>
            </w:r>
            <w:r w:rsidRPr="000A0AD2">
              <w:rPr>
                <w:rFonts w:hint="eastAsia"/>
                <w:kern w:val="0"/>
                <w:szCs w:val="21"/>
              </w:rPr>
              <w:t>6</w:t>
            </w:r>
            <w:r w:rsidRPr="000A0AD2">
              <w:rPr>
                <w:rFonts w:hint="eastAsia"/>
                <w:kern w:val="0"/>
                <w:szCs w:val="21"/>
              </w:rPr>
              <w:t>月</w:t>
            </w:r>
            <w:r w:rsidR="007D24B0">
              <w:rPr>
                <w:rFonts w:hint="eastAsia"/>
                <w:kern w:val="0"/>
                <w:szCs w:val="21"/>
              </w:rPr>
              <w:t>6</w:t>
            </w:r>
            <w:r w:rsidRPr="000A0AD2">
              <w:rPr>
                <w:rFonts w:hint="eastAsia"/>
                <w:kern w:val="0"/>
                <w:szCs w:val="21"/>
              </w:rPr>
              <w:t>日</w:t>
            </w:r>
          </w:p>
        </w:tc>
      </w:tr>
      <w:tr w:rsidR="000741F5" w:rsidRPr="000A0AD2" w:rsidTr="000741F5">
        <w:trPr>
          <w:trHeight w:val="159"/>
        </w:trPr>
        <w:tc>
          <w:tcPr>
            <w:tcW w:w="2987" w:type="dxa"/>
            <w:shd w:val="clear" w:color="auto" w:fill="auto"/>
            <w:tcMar>
              <w:top w:w="0" w:type="dxa"/>
              <w:left w:w="108" w:type="dxa"/>
              <w:bottom w:w="0" w:type="dxa"/>
              <w:right w:w="108" w:type="dxa"/>
            </w:tcMar>
            <w:hideMark/>
          </w:tcPr>
          <w:p w:rsidR="000741F5" w:rsidRPr="000A0AD2" w:rsidRDefault="000741F5" w:rsidP="000A0AD2">
            <w:pPr>
              <w:ind w:firstLine="420"/>
              <w:rPr>
                <w:kern w:val="0"/>
                <w:szCs w:val="21"/>
              </w:rPr>
            </w:pPr>
            <w:r w:rsidRPr="000A0AD2">
              <w:rPr>
                <w:rFonts w:hint="eastAsia"/>
                <w:kern w:val="0"/>
                <w:szCs w:val="21"/>
              </w:rPr>
              <w:t>赎回起始日</w:t>
            </w:r>
          </w:p>
        </w:tc>
        <w:tc>
          <w:tcPr>
            <w:tcW w:w="5578" w:type="dxa"/>
            <w:shd w:val="clear" w:color="auto" w:fill="auto"/>
            <w:tcMar>
              <w:top w:w="0" w:type="dxa"/>
              <w:left w:w="108" w:type="dxa"/>
              <w:bottom w:w="0" w:type="dxa"/>
              <w:right w:w="108" w:type="dxa"/>
            </w:tcMar>
            <w:hideMark/>
          </w:tcPr>
          <w:p w:rsidR="000741F5" w:rsidRPr="000A0AD2" w:rsidRDefault="000741F5" w:rsidP="007D24B0">
            <w:pPr>
              <w:ind w:firstLine="420"/>
              <w:rPr>
                <w:kern w:val="0"/>
                <w:szCs w:val="21"/>
              </w:rPr>
            </w:pPr>
            <w:r w:rsidRPr="000A0AD2">
              <w:rPr>
                <w:rFonts w:hint="eastAsia"/>
                <w:kern w:val="0"/>
                <w:szCs w:val="21"/>
              </w:rPr>
              <w:t>2014</w:t>
            </w:r>
            <w:r w:rsidRPr="000A0AD2">
              <w:rPr>
                <w:rFonts w:hint="eastAsia"/>
                <w:kern w:val="0"/>
                <w:szCs w:val="21"/>
              </w:rPr>
              <w:t>年</w:t>
            </w:r>
            <w:r w:rsidRPr="000A0AD2">
              <w:rPr>
                <w:rFonts w:hint="eastAsia"/>
                <w:kern w:val="0"/>
                <w:szCs w:val="21"/>
              </w:rPr>
              <w:t>6</w:t>
            </w:r>
            <w:r w:rsidRPr="000A0AD2">
              <w:rPr>
                <w:rFonts w:hint="eastAsia"/>
                <w:kern w:val="0"/>
                <w:szCs w:val="21"/>
              </w:rPr>
              <w:t>月</w:t>
            </w:r>
            <w:r>
              <w:rPr>
                <w:rFonts w:hint="eastAsia"/>
                <w:kern w:val="0"/>
                <w:szCs w:val="21"/>
              </w:rPr>
              <w:t>6</w:t>
            </w:r>
            <w:r w:rsidRPr="000A0AD2">
              <w:rPr>
                <w:rFonts w:hint="eastAsia"/>
                <w:kern w:val="0"/>
                <w:szCs w:val="21"/>
              </w:rPr>
              <w:t>日</w:t>
            </w:r>
          </w:p>
        </w:tc>
      </w:tr>
      <w:tr w:rsidR="000741F5" w:rsidRPr="000A0AD2" w:rsidTr="000741F5">
        <w:trPr>
          <w:trHeight w:val="110"/>
        </w:trPr>
        <w:tc>
          <w:tcPr>
            <w:tcW w:w="2987" w:type="dxa"/>
            <w:shd w:val="clear" w:color="auto" w:fill="auto"/>
            <w:tcMar>
              <w:top w:w="0" w:type="dxa"/>
              <w:left w:w="108" w:type="dxa"/>
              <w:bottom w:w="0" w:type="dxa"/>
              <w:right w:w="108" w:type="dxa"/>
            </w:tcMar>
            <w:hideMark/>
          </w:tcPr>
          <w:p w:rsidR="000741F5" w:rsidRDefault="000741F5" w:rsidP="000A0AD2">
            <w:pPr>
              <w:ind w:firstLine="420"/>
              <w:rPr>
                <w:rFonts w:ascii="宋体" w:hAnsi="宋体" w:cs="宋体"/>
                <w:kern w:val="0"/>
                <w:szCs w:val="21"/>
              </w:rPr>
            </w:pPr>
            <w:r>
              <w:rPr>
                <w:rFonts w:ascii="宋体" w:hAnsi="宋体" w:cs="宋体" w:hint="eastAsia"/>
                <w:kern w:val="0"/>
                <w:szCs w:val="21"/>
              </w:rPr>
              <w:t>转换转入起始日</w:t>
            </w:r>
          </w:p>
        </w:tc>
        <w:tc>
          <w:tcPr>
            <w:tcW w:w="5578" w:type="dxa"/>
            <w:shd w:val="clear" w:color="auto" w:fill="auto"/>
            <w:tcMar>
              <w:top w:w="0" w:type="dxa"/>
              <w:left w:w="108" w:type="dxa"/>
              <w:bottom w:w="0" w:type="dxa"/>
              <w:right w:w="108" w:type="dxa"/>
            </w:tcMar>
            <w:hideMark/>
          </w:tcPr>
          <w:p w:rsidR="000741F5" w:rsidRDefault="00422547" w:rsidP="00422547">
            <w:pPr>
              <w:ind w:firstLine="420"/>
              <w:rPr>
                <w:kern w:val="0"/>
                <w:szCs w:val="21"/>
              </w:rPr>
            </w:pPr>
            <w:r w:rsidRPr="000A0AD2">
              <w:rPr>
                <w:rFonts w:hint="eastAsia"/>
                <w:kern w:val="0"/>
                <w:szCs w:val="21"/>
              </w:rPr>
              <w:t>本基金自</w:t>
            </w:r>
            <w:r w:rsidR="000741F5" w:rsidRPr="000A0AD2">
              <w:rPr>
                <w:rFonts w:hint="eastAsia"/>
                <w:kern w:val="0"/>
                <w:szCs w:val="21"/>
              </w:rPr>
              <w:t>2014</w:t>
            </w:r>
            <w:r w:rsidR="000741F5" w:rsidRPr="000A0AD2">
              <w:rPr>
                <w:rFonts w:hint="eastAsia"/>
                <w:kern w:val="0"/>
                <w:szCs w:val="21"/>
              </w:rPr>
              <w:t>年</w:t>
            </w:r>
            <w:r w:rsidR="000741F5" w:rsidRPr="000A0AD2">
              <w:rPr>
                <w:rFonts w:hint="eastAsia"/>
                <w:kern w:val="0"/>
                <w:szCs w:val="21"/>
              </w:rPr>
              <w:t>6</w:t>
            </w:r>
            <w:r w:rsidR="000741F5" w:rsidRPr="000A0AD2">
              <w:rPr>
                <w:rFonts w:hint="eastAsia"/>
                <w:kern w:val="0"/>
                <w:szCs w:val="21"/>
              </w:rPr>
              <w:t>月</w:t>
            </w:r>
            <w:r w:rsidR="000741F5">
              <w:rPr>
                <w:rFonts w:hint="eastAsia"/>
                <w:kern w:val="0"/>
                <w:szCs w:val="21"/>
              </w:rPr>
              <w:t>6</w:t>
            </w:r>
            <w:r w:rsidR="000741F5" w:rsidRPr="000A0AD2">
              <w:rPr>
                <w:rFonts w:hint="eastAsia"/>
                <w:kern w:val="0"/>
                <w:szCs w:val="21"/>
              </w:rPr>
              <w:t>日</w:t>
            </w:r>
            <w:r w:rsidRPr="000A0AD2">
              <w:rPr>
                <w:rFonts w:hint="eastAsia"/>
                <w:kern w:val="0"/>
                <w:szCs w:val="21"/>
              </w:rPr>
              <w:t>起在</w:t>
            </w:r>
            <w:r>
              <w:rPr>
                <w:rFonts w:hint="eastAsia"/>
                <w:szCs w:val="21"/>
              </w:rPr>
              <w:t>本公司</w:t>
            </w:r>
            <w:r w:rsidRPr="00BA4DB0">
              <w:rPr>
                <w:rFonts w:hint="eastAsia"/>
                <w:szCs w:val="21"/>
              </w:rPr>
              <w:t>以及本公司的网上交易平台</w:t>
            </w:r>
            <w:r w:rsidRPr="000A0AD2">
              <w:rPr>
                <w:rFonts w:hint="eastAsia"/>
                <w:kern w:val="0"/>
                <w:szCs w:val="21"/>
              </w:rPr>
              <w:t>开通</w:t>
            </w:r>
            <w:r>
              <w:rPr>
                <w:rFonts w:hint="eastAsia"/>
                <w:kern w:val="0"/>
                <w:szCs w:val="21"/>
              </w:rPr>
              <w:t>基金转换</w:t>
            </w:r>
            <w:r w:rsidRPr="000A0AD2">
              <w:rPr>
                <w:rFonts w:hint="eastAsia"/>
                <w:kern w:val="0"/>
                <w:szCs w:val="21"/>
              </w:rPr>
              <w:t>业务。有关本基金</w:t>
            </w:r>
            <w:r>
              <w:rPr>
                <w:rFonts w:hint="eastAsia"/>
                <w:kern w:val="0"/>
                <w:szCs w:val="21"/>
              </w:rPr>
              <w:t>转换</w:t>
            </w:r>
            <w:r w:rsidRPr="000A0AD2">
              <w:rPr>
                <w:rFonts w:hint="eastAsia"/>
                <w:kern w:val="0"/>
                <w:szCs w:val="21"/>
              </w:rPr>
              <w:t>业务在代销机构的开通时间，本公司将另行公告。</w:t>
            </w:r>
          </w:p>
        </w:tc>
      </w:tr>
      <w:tr w:rsidR="000741F5" w:rsidRPr="000A0AD2" w:rsidTr="00D877A7">
        <w:trPr>
          <w:trHeight w:val="70"/>
        </w:trPr>
        <w:tc>
          <w:tcPr>
            <w:tcW w:w="2987" w:type="dxa"/>
            <w:shd w:val="clear" w:color="auto" w:fill="auto"/>
            <w:tcMar>
              <w:top w:w="0" w:type="dxa"/>
              <w:left w:w="108" w:type="dxa"/>
              <w:bottom w:w="0" w:type="dxa"/>
              <w:right w:w="108" w:type="dxa"/>
            </w:tcMar>
            <w:hideMark/>
          </w:tcPr>
          <w:p w:rsidR="000741F5" w:rsidRPr="000A0AD2" w:rsidRDefault="000741F5" w:rsidP="000A0AD2">
            <w:pPr>
              <w:ind w:firstLine="420"/>
              <w:rPr>
                <w:kern w:val="0"/>
                <w:szCs w:val="21"/>
              </w:rPr>
            </w:pPr>
            <w:r>
              <w:rPr>
                <w:rFonts w:ascii="宋体" w:hAnsi="宋体" w:cs="宋体" w:hint="eastAsia"/>
                <w:kern w:val="0"/>
                <w:szCs w:val="21"/>
              </w:rPr>
              <w:t>转换转出起始日</w:t>
            </w:r>
          </w:p>
        </w:tc>
        <w:tc>
          <w:tcPr>
            <w:tcW w:w="5578" w:type="dxa"/>
            <w:shd w:val="clear" w:color="auto" w:fill="auto"/>
            <w:tcMar>
              <w:top w:w="0" w:type="dxa"/>
              <w:left w:w="108" w:type="dxa"/>
              <w:bottom w:w="0" w:type="dxa"/>
              <w:right w:w="108" w:type="dxa"/>
            </w:tcMar>
            <w:hideMark/>
          </w:tcPr>
          <w:p w:rsidR="000741F5" w:rsidRPr="000A0AD2" w:rsidRDefault="00422547" w:rsidP="007D24B0">
            <w:pPr>
              <w:ind w:firstLine="420"/>
              <w:rPr>
                <w:kern w:val="0"/>
                <w:szCs w:val="21"/>
              </w:rPr>
            </w:pPr>
            <w:r w:rsidRPr="000A0AD2">
              <w:rPr>
                <w:rFonts w:hint="eastAsia"/>
                <w:kern w:val="0"/>
                <w:szCs w:val="21"/>
              </w:rPr>
              <w:t>本基金自</w:t>
            </w:r>
            <w:r w:rsidRPr="000A0AD2">
              <w:rPr>
                <w:rFonts w:hint="eastAsia"/>
                <w:kern w:val="0"/>
                <w:szCs w:val="21"/>
              </w:rPr>
              <w:t>2014</w:t>
            </w:r>
            <w:r w:rsidRPr="000A0AD2">
              <w:rPr>
                <w:rFonts w:hint="eastAsia"/>
                <w:kern w:val="0"/>
                <w:szCs w:val="21"/>
              </w:rPr>
              <w:t>年</w:t>
            </w:r>
            <w:r w:rsidRPr="000A0AD2">
              <w:rPr>
                <w:rFonts w:hint="eastAsia"/>
                <w:kern w:val="0"/>
                <w:szCs w:val="21"/>
              </w:rPr>
              <w:t>6</w:t>
            </w:r>
            <w:r w:rsidRPr="000A0AD2">
              <w:rPr>
                <w:rFonts w:hint="eastAsia"/>
                <w:kern w:val="0"/>
                <w:szCs w:val="21"/>
              </w:rPr>
              <w:t>月</w:t>
            </w:r>
            <w:r>
              <w:rPr>
                <w:rFonts w:hint="eastAsia"/>
                <w:kern w:val="0"/>
                <w:szCs w:val="21"/>
              </w:rPr>
              <w:t>6</w:t>
            </w:r>
            <w:r w:rsidRPr="000A0AD2">
              <w:rPr>
                <w:rFonts w:hint="eastAsia"/>
                <w:kern w:val="0"/>
                <w:szCs w:val="21"/>
              </w:rPr>
              <w:t>日起在</w:t>
            </w:r>
            <w:r>
              <w:rPr>
                <w:rFonts w:hint="eastAsia"/>
                <w:szCs w:val="21"/>
              </w:rPr>
              <w:t>本公司</w:t>
            </w:r>
            <w:r w:rsidRPr="00BA4DB0">
              <w:rPr>
                <w:rFonts w:hint="eastAsia"/>
                <w:szCs w:val="21"/>
              </w:rPr>
              <w:t>以及本公司的网上交易平台</w:t>
            </w:r>
            <w:r w:rsidRPr="000A0AD2">
              <w:rPr>
                <w:rFonts w:hint="eastAsia"/>
                <w:kern w:val="0"/>
                <w:szCs w:val="21"/>
              </w:rPr>
              <w:t>开通</w:t>
            </w:r>
            <w:r>
              <w:rPr>
                <w:rFonts w:hint="eastAsia"/>
                <w:kern w:val="0"/>
                <w:szCs w:val="21"/>
              </w:rPr>
              <w:t>基金转换</w:t>
            </w:r>
            <w:r w:rsidRPr="000A0AD2">
              <w:rPr>
                <w:rFonts w:hint="eastAsia"/>
                <w:kern w:val="0"/>
                <w:szCs w:val="21"/>
              </w:rPr>
              <w:t>业务。有关本基金</w:t>
            </w:r>
            <w:r>
              <w:rPr>
                <w:rFonts w:hint="eastAsia"/>
                <w:kern w:val="0"/>
                <w:szCs w:val="21"/>
              </w:rPr>
              <w:t>转换</w:t>
            </w:r>
            <w:r w:rsidRPr="000A0AD2">
              <w:rPr>
                <w:rFonts w:hint="eastAsia"/>
                <w:kern w:val="0"/>
                <w:szCs w:val="21"/>
              </w:rPr>
              <w:t>业务在代销机构的开通时间，本公司将另行公告。</w:t>
            </w:r>
          </w:p>
        </w:tc>
      </w:tr>
      <w:tr w:rsidR="00283A78" w:rsidRPr="000A0AD2" w:rsidTr="000741F5">
        <w:tc>
          <w:tcPr>
            <w:tcW w:w="2987" w:type="dxa"/>
            <w:shd w:val="clear" w:color="auto" w:fill="auto"/>
            <w:tcMar>
              <w:top w:w="0" w:type="dxa"/>
              <w:left w:w="108" w:type="dxa"/>
              <w:bottom w:w="0" w:type="dxa"/>
              <w:right w:w="108" w:type="dxa"/>
            </w:tcMar>
            <w:hideMark/>
          </w:tcPr>
          <w:p w:rsidR="00283A78" w:rsidRDefault="00283A78" w:rsidP="000A0AD2">
            <w:pPr>
              <w:ind w:firstLine="420"/>
              <w:rPr>
                <w:kern w:val="0"/>
                <w:szCs w:val="21"/>
              </w:rPr>
            </w:pPr>
            <w:r>
              <w:rPr>
                <w:rFonts w:hint="eastAsia"/>
                <w:kern w:val="0"/>
                <w:szCs w:val="21"/>
              </w:rPr>
              <w:t>开通系统内转托管日</w:t>
            </w:r>
          </w:p>
        </w:tc>
        <w:tc>
          <w:tcPr>
            <w:tcW w:w="5578" w:type="dxa"/>
            <w:shd w:val="clear" w:color="auto" w:fill="auto"/>
            <w:tcMar>
              <w:top w:w="0" w:type="dxa"/>
              <w:left w:w="108" w:type="dxa"/>
              <w:bottom w:w="0" w:type="dxa"/>
              <w:right w:w="108" w:type="dxa"/>
            </w:tcMar>
            <w:hideMark/>
          </w:tcPr>
          <w:p w:rsidR="00283A78" w:rsidRDefault="00283A78" w:rsidP="007D24B0">
            <w:pPr>
              <w:ind w:firstLine="420"/>
              <w:rPr>
                <w:kern w:val="0"/>
                <w:szCs w:val="21"/>
              </w:rPr>
            </w:pPr>
            <w:r>
              <w:rPr>
                <w:rFonts w:hint="eastAsia"/>
                <w:kern w:val="0"/>
                <w:szCs w:val="21"/>
              </w:rPr>
              <w:t>2014</w:t>
            </w:r>
            <w:r>
              <w:rPr>
                <w:rFonts w:hint="eastAsia"/>
                <w:kern w:val="0"/>
                <w:szCs w:val="21"/>
              </w:rPr>
              <w:t>年</w:t>
            </w:r>
            <w:r>
              <w:rPr>
                <w:rFonts w:hint="eastAsia"/>
                <w:kern w:val="0"/>
                <w:szCs w:val="21"/>
              </w:rPr>
              <w:t>6</w:t>
            </w:r>
            <w:r>
              <w:rPr>
                <w:rFonts w:hint="eastAsia"/>
                <w:kern w:val="0"/>
                <w:szCs w:val="21"/>
              </w:rPr>
              <w:t>月</w:t>
            </w:r>
            <w:r>
              <w:rPr>
                <w:rFonts w:hint="eastAsia"/>
                <w:kern w:val="0"/>
                <w:szCs w:val="21"/>
              </w:rPr>
              <w:t>6</w:t>
            </w:r>
            <w:r>
              <w:rPr>
                <w:rFonts w:hint="eastAsia"/>
                <w:kern w:val="0"/>
                <w:szCs w:val="21"/>
              </w:rPr>
              <w:t>日</w:t>
            </w:r>
          </w:p>
        </w:tc>
      </w:tr>
      <w:tr w:rsidR="00F131FE" w:rsidRPr="000A0AD2" w:rsidTr="000741F5">
        <w:tc>
          <w:tcPr>
            <w:tcW w:w="2987" w:type="dxa"/>
            <w:shd w:val="clear" w:color="auto" w:fill="auto"/>
            <w:tcMar>
              <w:top w:w="0" w:type="dxa"/>
              <w:left w:w="108" w:type="dxa"/>
              <w:bottom w:w="0" w:type="dxa"/>
              <w:right w:w="108" w:type="dxa"/>
            </w:tcMar>
            <w:hideMark/>
          </w:tcPr>
          <w:p w:rsidR="00F131FE" w:rsidRPr="000A0AD2" w:rsidRDefault="00F131FE" w:rsidP="00283A78">
            <w:pPr>
              <w:ind w:firstLine="420"/>
              <w:rPr>
                <w:kern w:val="0"/>
                <w:szCs w:val="21"/>
              </w:rPr>
            </w:pPr>
            <w:r>
              <w:rPr>
                <w:rFonts w:hint="eastAsia"/>
                <w:kern w:val="0"/>
                <w:szCs w:val="21"/>
              </w:rPr>
              <w:t>开通跨系统转托管日</w:t>
            </w:r>
          </w:p>
        </w:tc>
        <w:tc>
          <w:tcPr>
            <w:tcW w:w="5578" w:type="dxa"/>
            <w:shd w:val="clear" w:color="auto" w:fill="auto"/>
            <w:tcMar>
              <w:top w:w="0" w:type="dxa"/>
              <w:left w:w="108" w:type="dxa"/>
              <w:bottom w:w="0" w:type="dxa"/>
              <w:right w:w="108" w:type="dxa"/>
            </w:tcMar>
            <w:hideMark/>
          </w:tcPr>
          <w:p w:rsidR="00F131FE" w:rsidRPr="000A0AD2" w:rsidRDefault="00F131FE" w:rsidP="007D24B0">
            <w:pPr>
              <w:ind w:firstLine="420"/>
              <w:rPr>
                <w:kern w:val="0"/>
                <w:szCs w:val="21"/>
              </w:rPr>
            </w:pPr>
            <w:r>
              <w:rPr>
                <w:rFonts w:hint="eastAsia"/>
                <w:kern w:val="0"/>
                <w:szCs w:val="21"/>
              </w:rPr>
              <w:t>2014</w:t>
            </w:r>
            <w:r>
              <w:rPr>
                <w:rFonts w:hint="eastAsia"/>
                <w:kern w:val="0"/>
                <w:szCs w:val="21"/>
              </w:rPr>
              <w:t>年</w:t>
            </w:r>
            <w:r>
              <w:rPr>
                <w:rFonts w:hint="eastAsia"/>
                <w:kern w:val="0"/>
                <w:szCs w:val="21"/>
              </w:rPr>
              <w:t>6</w:t>
            </w:r>
            <w:r>
              <w:rPr>
                <w:rFonts w:hint="eastAsia"/>
                <w:kern w:val="0"/>
                <w:szCs w:val="21"/>
              </w:rPr>
              <w:t>月</w:t>
            </w:r>
            <w:r>
              <w:rPr>
                <w:rFonts w:hint="eastAsia"/>
                <w:kern w:val="0"/>
                <w:szCs w:val="21"/>
              </w:rPr>
              <w:t>6</w:t>
            </w:r>
            <w:r>
              <w:rPr>
                <w:rFonts w:hint="eastAsia"/>
                <w:kern w:val="0"/>
                <w:szCs w:val="21"/>
              </w:rPr>
              <w:t>日</w:t>
            </w:r>
          </w:p>
        </w:tc>
      </w:tr>
      <w:tr w:rsidR="000A0AD2" w:rsidRPr="000A0AD2" w:rsidTr="00851CE9">
        <w:trPr>
          <w:trHeight w:val="760"/>
        </w:trPr>
        <w:tc>
          <w:tcPr>
            <w:tcW w:w="2987" w:type="dxa"/>
            <w:shd w:val="clear" w:color="auto" w:fill="auto"/>
            <w:tcMar>
              <w:top w:w="0" w:type="dxa"/>
              <w:left w:w="108" w:type="dxa"/>
              <w:bottom w:w="0" w:type="dxa"/>
              <w:right w:w="108" w:type="dxa"/>
            </w:tcMar>
            <w:hideMark/>
          </w:tcPr>
          <w:p w:rsidR="000A0AD2" w:rsidRPr="000A0AD2" w:rsidRDefault="000A0AD2" w:rsidP="000A0AD2">
            <w:pPr>
              <w:ind w:firstLine="420"/>
              <w:rPr>
                <w:kern w:val="0"/>
                <w:szCs w:val="21"/>
              </w:rPr>
            </w:pPr>
            <w:r w:rsidRPr="000A0AD2">
              <w:rPr>
                <w:rFonts w:hint="eastAsia"/>
                <w:kern w:val="0"/>
                <w:szCs w:val="21"/>
              </w:rPr>
              <w:t>定期定额投资起始日</w:t>
            </w:r>
          </w:p>
        </w:tc>
        <w:tc>
          <w:tcPr>
            <w:tcW w:w="5578" w:type="dxa"/>
            <w:shd w:val="clear" w:color="auto" w:fill="auto"/>
            <w:tcMar>
              <w:top w:w="0" w:type="dxa"/>
              <w:left w:w="108" w:type="dxa"/>
              <w:bottom w:w="0" w:type="dxa"/>
              <w:right w:w="108" w:type="dxa"/>
            </w:tcMar>
            <w:hideMark/>
          </w:tcPr>
          <w:p w:rsidR="000A0AD2" w:rsidRPr="000A0AD2" w:rsidRDefault="000A0AD2" w:rsidP="007D24B0">
            <w:pPr>
              <w:ind w:firstLine="420"/>
              <w:rPr>
                <w:kern w:val="0"/>
                <w:szCs w:val="21"/>
              </w:rPr>
            </w:pPr>
            <w:r w:rsidRPr="000A0AD2">
              <w:rPr>
                <w:rFonts w:hint="eastAsia"/>
                <w:kern w:val="0"/>
                <w:szCs w:val="21"/>
              </w:rPr>
              <w:t>本基金自</w:t>
            </w:r>
            <w:r w:rsidRPr="000A0AD2">
              <w:rPr>
                <w:rFonts w:hint="eastAsia"/>
                <w:kern w:val="0"/>
                <w:szCs w:val="21"/>
              </w:rPr>
              <w:t>2014</w:t>
            </w:r>
            <w:r w:rsidRPr="000A0AD2">
              <w:rPr>
                <w:rFonts w:hint="eastAsia"/>
                <w:kern w:val="0"/>
                <w:szCs w:val="21"/>
              </w:rPr>
              <w:t>年</w:t>
            </w:r>
            <w:r w:rsidRPr="000A0AD2">
              <w:rPr>
                <w:rFonts w:hint="eastAsia"/>
                <w:kern w:val="0"/>
                <w:szCs w:val="21"/>
              </w:rPr>
              <w:t>6</w:t>
            </w:r>
            <w:r w:rsidRPr="000A0AD2">
              <w:rPr>
                <w:rFonts w:hint="eastAsia"/>
                <w:kern w:val="0"/>
                <w:szCs w:val="21"/>
              </w:rPr>
              <w:t>月</w:t>
            </w:r>
            <w:r w:rsidR="007D24B0">
              <w:rPr>
                <w:rFonts w:hint="eastAsia"/>
                <w:kern w:val="0"/>
                <w:szCs w:val="21"/>
              </w:rPr>
              <w:t>6</w:t>
            </w:r>
            <w:r w:rsidRPr="000A0AD2">
              <w:rPr>
                <w:rFonts w:hint="eastAsia"/>
                <w:kern w:val="0"/>
                <w:szCs w:val="21"/>
              </w:rPr>
              <w:t>日起在本公司网上交易系统开通定期定额投资业务。有关本基金定期定额投资业务在代销机构的开通时间，本公司将另行公告。</w:t>
            </w:r>
          </w:p>
        </w:tc>
      </w:tr>
    </w:tbl>
    <w:p w:rsidR="000A0AD2" w:rsidRPr="000A0AD2" w:rsidRDefault="000A0AD2" w:rsidP="000A0AD2">
      <w:pPr>
        <w:ind w:firstLine="420"/>
        <w:rPr>
          <w:kern w:val="0"/>
          <w:szCs w:val="21"/>
        </w:rPr>
      </w:pPr>
      <w:bookmarkStart w:id="1" w:name="_Toc249263619"/>
      <w:r w:rsidRPr="000A0AD2">
        <w:rPr>
          <w:rFonts w:hint="eastAsia"/>
          <w:kern w:val="0"/>
        </w:rPr>
        <w:t>注：</w:t>
      </w:r>
      <w:r w:rsidR="007D24B0">
        <w:rPr>
          <w:rFonts w:hint="eastAsia"/>
          <w:kern w:val="0"/>
        </w:rPr>
        <w:t>万家添利</w:t>
      </w:r>
      <w:r w:rsidRPr="000A0AD2">
        <w:rPr>
          <w:rFonts w:hint="eastAsia"/>
          <w:kern w:val="0"/>
        </w:rPr>
        <w:t>债券型证券投资基金（</w:t>
      </w:r>
      <w:r w:rsidRPr="000A0AD2">
        <w:rPr>
          <w:rFonts w:hint="eastAsia"/>
          <w:kern w:val="0"/>
        </w:rPr>
        <w:t>LOF</w:t>
      </w:r>
      <w:r w:rsidRPr="000A0AD2">
        <w:rPr>
          <w:rFonts w:hint="eastAsia"/>
          <w:kern w:val="0"/>
        </w:rPr>
        <w:t>）以下简称“本基金”。</w:t>
      </w:r>
      <w:bookmarkEnd w:id="1"/>
    </w:p>
    <w:p w:rsidR="000A0AD2" w:rsidRPr="00070EBA" w:rsidRDefault="000A0AD2" w:rsidP="00800111">
      <w:pPr>
        <w:pStyle w:val="5"/>
      </w:pPr>
      <w:r w:rsidRPr="000A0AD2">
        <w:rPr>
          <w:rFonts w:hint="eastAsia"/>
        </w:rPr>
        <w:lastRenderedPageBreak/>
        <w:t>2</w:t>
      </w:r>
      <w:r w:rsidRPr="000A0AD2">
        <w:rPr>
          <w:rFonts w:hint="eastAsia"/>
        </w:rPr>
        <w:t>、日常申购、赎回</w:t>
      </w:r>
      <w:r w:rsidR="00070EBA" w:rsidRPr="00070EBA">
        <w:rPr>
          <w:rFonts w:hint="eastAsia"/>
        </w:rPr>
        <w:t>、转换</w:t>
      </w:r>
      <w:r w:rsidR="00F9362F">
        <w:rPr>
          <w:rFonts w:hint="eastAsia"/>
        </w:rPr>
        <w:t>、</w:t>
      </w:r>
      <w:r w:rsidR="00070EBA" w:rsidRPr="00070EBA">
        <w:rPr>
          <w:rFonts w:hint="eastAsia"/>
        </w:rPr>
        <w:t>定期定额投资</w:t>
      </w:r>
      <w:r w:rsidR="00F9362F">
        <w:rPr>
          <w:rFonts w:hint="eastAsia"/>
        </w:rPr>
        <w:t>和转托管</w:t>
      </w:r>
      <w:r w:rsidRPr="000A0AD2">
        <w:rPr>
          <w:rFonts w:hint="eastAsia"/>
        </w:rPr>
        <w:t>业务的办理时间</w:t>
      </w:r>
    </w:p>
    <w:p w:rsidR="00070EBA" w:rsidRPr="00070EBA" w:rsidRDefault="00070EBA" w:rsidP="00070EBA">
      <w:pPr>
        <w:ind w:firstLine="420"/>
        <w:rPr>
          <w:kern w:val="0"/>
        </w:rPr>
      </w:pPr>
      <w:bookmarkStart w:id="2" w:name="_Toc249263621"/>
      <w:r w:rsidRPr="00070EBA">
        <w:rPr>
          <w:rFonts w:hint="eastAsia"/>
          <w:kern w:val="0"/>
        </w:rPr>
        <w:t>本基金管理人将于</w:t>
      </w:r>
      <w:r w:rsidRPr="00070EBA">
        <w:rPr>
          <w:rFonts w:hint="eastAsia"/>
          <w:kern w:val="0"/>
        </w:rPr>
        <w:t>2014</w:t>
      </w:r>
      <w:r w:rsidRPr="00070EBA">
        <w:rPr>
          <w:rFonts w:hint="eastAsia"/>
          <w:kern w:val="0"/>
        </w:rPr>
        <w:t>年</w:t>
      </w:r>
      <w:r>
        <w:rPr>
          <w:rFonts w:hint="eastAsia"/>
          <w:kern w:val="0"/>
        </w:rPr>
        <w:t>6</w:t>
      </w:r>
      <w:r w:rsidRPr="00070EBA">
        <w:rPr>
          <w:rFonts w:hint="eastAsia"/>
          <w:kern w:val="0"/>
        </w:rPr>
        <w:t>月</w:t>
      </w:r>
      <w:r>
        <w:rPr>
          <w:rFonts w:hint="eastAsia"/>
          <w:kern w:val="0"/>
        </w:rPr>
        <w:t>6</w:t>
      </w:r>
      <w:r w:rsidRPr="00070EBA">
        <w:rPr>
          <w:rFonts w:hint="eastAsia"/>
          <w:kern w:val="0"/>
        </w:rPr>
        <w:t>日起开始办理本基金的申购、赎回、转换</w:t>
      </w:r>
      <w:r w:rsidR="00F9362F">
        <w:rPr>
          <w:rFonts w:hint="eastAsia"/>
          <w:kern w:val="0"/>
        </w:rPr>
        <w:t>、</w:t>
      </w:r>
      <w:r w:rsidRPr="00070EBA">
        <w:rPr>
          <w:rFonts w:hint="eastAsia"/>
          <w:kern w:val="0"/>
        </w:rPr>
        <w:t>定期定额投资</w:t>
      </w:r>
      <w:r w:rsidR="00F9362F">
        <w:rPr>
          <w:rFonts w:hint="eastAsia"/>
          <w:kern w:val="0"/>
        </w:rPr>
        <w:t>和转托管</w:t>
      </w:r>
      <w:r w:rsidRPr="00070EBA">
        <w:rPr>
          <w:rFonts w:hint="eastAsia"/>
          <w:kern w:val="0"/>
        </w:rPr>
        <w:t>业务。</w:t>
      </w:r>
    </w:p>
    <w:p w:rsidR="00070EBA" w:rsidRPr="00070EBA" w:rsidRDefault="00070EBA" w:rsidP="00070EBA">
      <w:pPr>
        <w:ind w:firstLine="420"/>
        <w:rPr>
          <w:kern w:val="0"/>
        </w:rPr>
      </w:pPr>
      <w:r w:rsidRPr="00070EBA">
        <w:rPr>
          <w:rFonts w:hint="eastAsia"/>
          <w:kern w:val="0"/>
        </w:rPr>
        <w:t>申购与赎回的开放日是指为投资人或基金份额持有人办理基金申购、赎回等业务的上海证券交易所、深圳证券交易</w:t>
      </w:r>
      <w:r w:rsidR="00AC7E69">
        <w:rPr>
          <w:rFonts w:hint="eastAsia"/>
          <w:kern w:val="0"/>
        </w:rPr>
        <w:t>所</w:t>
      </w:r>
      <w:r w:rsidRPr="00070EBA">
        <w:rPr>
          <w:rFonts w:hint="eastAsia"/>
          <w:kern w:val="0"/>
        </w:rPr>
        <w:t>的交易日（基金管理人根据相关法律法规及本合同的规定公告暂停申购、赎回时除外）。各销售机构的具体业务办理时间参见基金份额发售公告或基金代销机构的相关公告。</w:t>
      </w:r>
    </w:p>
    <w:p w:rsidR="00070EBA" w:rsidRPr="00070EBA" w:rsidRDefault="00070EBA" w:rsidP="00070EBA">
      <w:pPr>
        <w:ind w:firstLine="420"/>
        <w:rPr>
          <w:kern w:val="0"/>
        </w:rPr>
      </w:pPr>
      <w:r w:rsidRPr="00070EBA">
        <w:rPr>
          <w:rFonts w:hint="eastAsia"/>
          <w:kern w:val="0"/>
        </w:rPr>
        <w:t>投资人在基金合同约定之外的日期或时间提出申购、赎回申请的，其基金份额申购、赎回价格为下一办理基金份额申购、赎回时间所在开放日的价格。</w:t>
      </w:r>
    </w:p>
    <w:p w:rsidR="00070EBA" w:rsidRDefault="00070EBA" w:rsidP="00070EBA">
      <w:pPr>
        <w:ind w:firstLine="420"/>
        <w:rPr>
          <w:kern w:val="0"/>
        </w:rPr>
      </w:pPr>
      <w:r w:rsidRPr="00070EBA">
        <w:rPr>
          <w:rFonts w:hint="eastAsia"/>
          <w:kern w:val="0"/>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0A0AD2" w:rsidRPr="00070EBA" w:rsidRDefault="000A0AD2" w:rsidP="00800111">
      <w:pPr>
        <w:pStyle w:val="5"/>
      </w:pPr>
      <w:r w:rsidRPr="000A0AD2">
        <w:rPr>
          <w:rFonts w:hint="eastAsia"/>
        </w:rPr>
        <w:t>3</w:t>
      </w:r>
      <w:bookmarkEnd w:id="2"/>
      <w:r w:rsidRPr="000A0AD2">
        <w:rPr>
          <w:rFonts w:hint="eastAsia"/>
        </w:rPr>
        <w:t>、日常申购业务</w:t>
      </w:r>
    </w:p>
    <w:p w:rsidR="000A0AD2" w:rsidRPr="00070EBA" w:rsidRDefault="000A0AD2" w:rsidP="00800111">
      <w:pPr>
        <w:pStyle w:val="5"/>
      </w:pPr>
      <w:r w:rsidRPr="000A0AD2">
        <w:rPr>
          <w:rFonts w:hint="eastAsia"/>
        </w:rPr>
        <w:t>3.1 </w:t>
      </w:r>
      <w:r w:rsidRPr="000A0AD2">
        <w:rPr>
          <w:rFonts w:hint="eastAsia"/>
        </w:rPr>
        <w:t>申购份额限制</w:t>
      </w:r>
    </w:p>
    <w:p w:rsidR="000A0AD2" w:rsidRPr="000A0AD2" w:rsidRDefault="000A0AD2" w:rsidP="000A0AD2">
      <w:pPr>
        <w:ind w:firstLine="420"/>
        <w:rPr>
          <w:kern w:val="0"/>
          <w:szCs w:val="21"/>
        </w:rPr>
      </w:pPr>
      <w:r w:rsidRPr="000A0AD2">
        <w:rPr>
          <w:rFonts w:hint="eastAsia"/>
          <w:kern w:val="0"/>
        </w:rPr>
        <w:t>投资者通过代销机构场外申购</w:t>
      </w:r>
      <w:r w:rsidR="007D24B0">
        <w:rPr>
          <w:rFonts w:hint="eastAsia"/>
          <w:kern w:val="0"/>
        </w:rPr>
        <w:t>万家添利</w:t>
      </w:r>
      <w:r w:rsidRPr="000A0AD2">
        <w:rPr>
          <w:rFonts w:hint="eastAsia"/>
          <w:kern w:val="0"/>
        </w:rPr>
        <w:t>债券（</w:t>
      </w:r>
      <w:r w:rsidRPr="000A0AD2">
        <w:rPr>
          <w:rFonts w:hint="eastAsia"/>
          <w:kern w:val="0"/>
        </w:rPr>
        <w:t>LOF</w:t>
      </w:r>
      <w:r w:rsidRPr="000A0AD2">
        <w:rPr>
          <w:rFonts w:hint="eastAsia"/>
          <w:kern w:val="0"/>
        </w:rPr>
        <w:t>）份额时，除需满足基金管理人最低申购金额限制外（每个账户单笔申购的最低金额为</w:t>
      </w:r>
      <w:r w:rsidRPr="000A0AD2">
        <w:rPr>
          <w:rFonts w:hint="eastAsia"/>
          <w:kern w:val="0"/>
        </w:rPr>
        <w:t>100</w:t>
      </w:r>
      <w:r w:rsidR="007D24B0">
        <w:rPr>
          <w:rFonts w:hint="eastAsia"/>
          <w:kern w:val="0"/>
        </w:rPr>
        <w:t>0</w:t>
      </w:r>
      <w:r w:rsidRPr="000A0AD2">
        <w:rPr>
          <w:rFonts w:hint="eastAsia"/>
          <w:kern w:val="0"/>
        </w:rPr>
        <w:t>元），当代理销售机构设定的最低金额高于上述金额限制时，投资者还应遵循相关代理销售机构的业务规定。通过基金管理人直销网点场外申购</w:t>
      </w:r>
      <w:r w:rsidR="007D24B0">
        <w:rPr>
          <w:rFonts w:hint="eastAsia"/>
          <w:kern w:val="0"/>
        </w:rPr>
        <w:t>万家添利</w:t>
      </w:r>
      <w:r w:rsidRPr="000A0AD2">
        <w:rPr>
          <w:rFonts w:hint="eastAsia"/>
          <w:kern w:val="0"/>
        </w:rPr>
        <w:t>债券（</w:t>
      </w:r>
      <w:r w:rsidRPr="000A0AD2">
        <w:rPr>
          <w:rFonts w:hint="eastAsia"/>
          <w:kern w:val="0"/>
        </w:rPr>
        <w:t>LOF</w:t>
      </w:r>
      <w:r w:rsidRPr="000A0AD2">
        <w:rPr>
          <w:rFonts w:hint="eastAsia"/>
          <w:kern w:val="0"/>
        </w:rPr>
        <w:t>）份额，每个账户首次申购的最低金额为</w:t>
      </w:r>
      <w:r w:rsidR="007D24B0">
        <w:rPr>
          <w:rFonts w:hint="eastAsia"/>
          <w:kern w:val="0"/>
        </w:rPr>
        <w:t>1000</w:t>
      </w:r>
      <w:r w:rsidRPr="000A0AD2">
        <w:rPr>
          <w:rFonts w:hint="eastAsia"/>
          <w:kern w:val="0"/>
        </w:rPr>
        <w:t>元，追加申购的最低金额为单笔</w:t>
      </w:r>
      <w:r w:rsidR="007D24B0">
        <w:rPr>
          <w:rFonts w:hint="eastAsia"/>
          <w:kern w:val="0"/>
        </w:rPr>
        <w:t>1000</w:t>
      </w:r>
      <w:r w:rsidRPr="000A0AD2">
        <w:rPr>
          <w:rFonts w:hint="eastAsia"/>
          <w:kern w:val="0"/>
        </w:rPr>
        <w:t>元。通过基金管理人网上交易系统或电话交易系统办理</w:t>
      </w:r>
      <w:r w:rsidR="007D24B0">
        <w:rPr>
          <w:rFonts w:hint="eastAsia"/>
          <w:kern w:val="0"/>
        </w:rPr>
        <w:t>万家添利</w:t>
      </w:r>
      <w:r w:rsidRPr="000A0AD2">
        <w:rPr>
          <w:rFonts w:hint="eastAsia"/>
          <w:kern w:val="0"/>
        </w:rPr>
        <w:t>债券（</w:t>
      </w:r>
      <w:r w:rsidRPr="000A0AD2">
        <w:rPr>
          <w:rFonts w:hint="eastAsia"/>
          <w:kern w:val="0"/>
        </w:rPr>
        <w:t>LOF</w:t>
      </w:r>
      <w:r w:rsidRPr="000A0AD2">
        <w:rPr>
          <w:rFonts w:hint="eastAsia"/>
          <w:kern w:val="0"/>
        </w:rPr>
        <w:t>）份额申购业务的，申购最低金额为单笔</w:t>
      </w:r>
      <w:r w:rsidRPr="000A0AD2">
        <w:rPr>
          <w:rFonts w:hint="eastAsia"/>
          <w:kern w:val="0"/>
        </w:rPr>
        <w:t>100</w:t>
      </w:r>
      <w:r w:rsidR="007D24B0">
        <w:rPr>
          <w:rFonts w:hint="eastAsia"/>
          <w:kern w:val="0"/>
        </w:rPr>
        <w:t>0</w:t>
      </w:r>
      <w:r w:rsidRPr="000A0AD2">
        <w:rPr>
          <w:rFonts w:hint="eastAsia"/>
          <w:kern w:val="0"/>
        </w:rPr>
        <w:t>元。</w:t>
      </w:r>
    </w:p>
    <w:p w:rsidR="000A0AD2" w:rsidRPr="000A0AD2" w:rsidRDefault="000A0AD2" w:rsidP="000A0AD2">
      <w:pPr>
        <w:ind w:firstLine="420"/>
        <w:rPr>
          <w:kern w:val="0"/>
          <w:szCs w:val="21"/>
        </w:rPr>
      </w:pPr>
      <w:r w:rsidRPr="000A0AD2">
        <w:rPr>
          <w:rFonts w:hint="eastAsia"/>
          <w:kern w:val="0"/>
        </w:rPr>
        <w:t>投资者场内申购</w:t>
      </w:r>
      <w:r w:rsidR="007D24B0">
        <w:rPr>
          <w:rFonts w:hint="eastAsia"/>
          <w:kern w:val="0"/>
        </w:rPr>
        <w:t>万家添利</w:t>
      </w:r>
      <w:r w:rsidRPr="000A0AD2">
        <w:rPr>
          <w:rFonts w:hint="eastAsia"/>
          <w:kern w:val="0"/>
        </w:rPr>
        <w:t>债券（</w:t>
      </w:r>
      <w:r w:rsidRPr="000A0AD2">
        <w:rPr>
          <w:rFonts w:hint="eastAsia"/>
          <w:kern w:val="0"/>
        </w:rPr>
        <w:t>LOF</w:t>
      </w:r>
      <w:r w:rsidRPr="000A0AD2">
        <w:rPr>
          <w:rFonts w:hint="eastAsia"/>
          <w:kern w:val="0"/>
        </w:rPr>
        <w:t>）份额，每个账户单笔申购的最低金额为</w:t>
      </w:r>
      <w:r w:rsidR="007D24B0">
        <w:rPr>
          <w:rFonts w:hint="eastAsia"/>
          <w:kern w:val="0"/>
        </w:rPr>
        <w:t>1000</w:t>
      </w:r>
      <w:r w:rsidRPr="000A0AD2">
        <w:rPr>
          <w:rFonts w:hint="eastAsia"/>
          <w:kern w:val="0"/>
        </w:rPr>
        <w:t>元。</w:t>
      </w:r>
    </w:p>
    <w:p w:rsidR="000A0AD2" w:rsidRPr="00800111" w:rsidRDefault="000A0AD2" w:rsidP="00800111">
      <w:pPr>
        <w:pStyle w:val="5"/>
      </w:pPr>
      <w:r w:rsidRPr="000A0AD2">
        <w:rPr>
          <w:rFonts w:hint="eastAsia"/>
        </w:rPr>
        <w:t>3.2 </w:t>
      </w:r>
      <w:r w:rsidRPr="000A0AD2">
        <w:rPr>
          <w:rFonts w:hint="eastAsia"/>
        </w:rPr>
        <w:t>申购费率</w:t>
      </w:r>
    </w:p>
    <w:p w:rsidR="000A0AD2" w:rsidRPr="000A0AD2" w:rsidRDefault="000A0AD2" w:rsidP="000A0AD2">
      <w:pPr>
        <w:ind w:firstLine="420"/>
        <w:rPr>
          <w:kern w:val="0"/>
          <w:szCs w:val="21"/>
        </w:rPr>
      </w:pPr>
      <w:r w:rsidRPr="000A0AD2">
        <w:rPr>
          <w:rFonts w:hint="eastAsia"/>
          <w:kern w:val="0"/>
        </w:rPr>
        <w:t>本基金不收取申购费用。</w:t>
      </w:r>
    </w:p>
    <w:p w:rsidR="000A0AD2" w:rsidRPr="00800111" w:rsidRDefault="000A0AD2" w:rsidP="00800111">
      <w:pPr>
        <w:pStyle w:val="5"/>
      </w:pPr>
      <w:r w:rsidRPr="000A0AD2">
        <w:rPr>
          <w:rFonts w:hint="eastAsia"/>
        </w:rPr>
        <w:t>4</w:t>
      </w:r>
      <w:r w:rsidRPr="000A0AD2">
        <w:rPr>
          <w:rFonts w:hint="eastAsia"/>
        </w:rPr>
        <w:t>、日常赎回业务</w:t>
      </w:r>
    </w:p>
    <w:p w:rsidR="000A0AD2" w:rsidRPr="00800111" w:rsidRDefault="000A0AD2" w:rsidP="00800111">
      <w:pPr>
        <w:pStyle w:val="5"/>
      </w:pPr>
      <w:r w:rsidRPr="000A0AD2">
        <w:rPr>
          <w:rFonts w:hint="eastAsia"/>
        </w:rPr>
        <w:t>4.1 </w:t>
      </w:r>
      <w:r w:rsidRPr="000A0AD2">
        <w:rPr>
          <w:rFonts w:hint="eastAsia"/>
        </w:rPr>
        <w:t>赎回份额限制</w:t>
      </w:r>
    </w:p>
    <w:p w:rsidR="00BA4DB0" w:rsidRPr="00BA4DB0" w:rsidRDefault="00BA4DB0" w:rsidP="00BA4DB0">
      <w:pPr>
        <w:ind w:firstLine="420"/>
        <w:rPr>
          <w:kern w:val="0"/>
        </w:rPr>
      </w:pPr>
      <w:r>
        <w:rPr>
          <w:rFonts w:hint="eastAsia"/>
          <w:kern w:val="0"/>
        </w:rPr>
        <w:t>（</w:t>
      </w:r>
      <w:r w:rsidRPr="00BA4DB0">
        <w:rPr>
          <w:rFonts w:hint="eastAsia"/>
          <w:kern w:val="0"/>
        </w:rPr>
        <w:t>1</w:t>
      </w:r>
      <w:r>
        <w:rPr>
          <w:rFonts w:hint="eastAsia"/>
          <w:kern w:val="0"/>
        </w:rPr>
        <w:t>）</w:t>
      </w:r>
      <w:r w:rsidRPr="00BA4DB0">
        <w:rPr>
          <w:rFonts w:hint="eastAsia"/>
          <w:kern w:val="0"/>
        </w:rPr>
        <w:t>本基金不设场外单笔最低赎回份额；</w:t>
      </w:r>
    </w:p>
    <w:p w:rsidR="00BA4DB0" w:rsidRDefault="00BA4DB0" w:rsidP="00BA4DB0">
      <w:pPr>
        <w:ind w:firstLine="420"/>
        <w:rPr>
          <w:kern w:val="0"/>
        </w:rPr>
      </w:pPr>
      <w:r>
        <w:rPr>
          <w:rFonts w:hint="eastAsia"/>
          <w:kern w:val="0"/>
        </w:rPr>
        <w:t>（</w:t>
      </w:r>
      <w:r w:rsidRPr="00BA4DB0">
        <w:rPr>
          <w:rFonts w:hint="eastAsia"/>
          <w:kern w:val="0"/>
        </w:rPr>
        <w:t>2</w:t>
      </w:r>
      <w:r>
        <w:rPr>
          <w:rFonts w:hint="eastAsia"/>
          <w:kern w:val="0"/>
        </w:rPr>
        <w:t>）</w:t>
      </w:r>
      <w:r w:rsidRPr="00BA4DB0">
        <w:rPr>
          <w:rFonts w:hint="eastAsia"/>
          <w:kern w:val="0"/>
        </w:rPr>
        <w:t>基金份额持有人场内赎回时，赎回份额必须是整数份额，并且每笔赎回最大不超过</w:t>
      </w:r>
      <w:r w:rsidRPr="00BA4DB0">
        <w:rPr>
          <w:rFonts w:hint="eastAsia"/>
          <w:kern w:val="0"/>
        </w:rPr>
        <w:t>99,999,999</w:t>
      </w:r>
      <w:r w:rsidRPr="00BA4DB0">
        <w:rPr>
          <w:rFonts w:hint="eastAsia"/>
          <w:kern w:val="0"/>
        </w:rPr>
        <w:t>份基金份额。</w:t>
      </w:r>
    </w:p>
    <w:p w:rsidR="000A0AD2" w:rsidRPr="00800111" w:rsidRDefault="000A0AD2" w:rsidP="00800111">
      <w:pPr>
        <w:pStyle w:val="5"/>
      </w:pPr>
      <w:r w:rsidRPr="000A0AD2">
        <w:rPr>
          <w:rFonts w:hint="eastAsia"/>
        </w:rPr>
        <w:t>4.2 </w:t>
      </w:r>
      <w:r w:rsidRPr="000A0AD2">
        <w:rPr>
          <w:rFonts w:hint="eastAsia"/>
        </w:rPr>
        <w:t>赎回费率</w:t>
      </w:r>
    </w:p>
    <w:p w:rsidR="00BA4DB0" w:rsidRDefault="00BA4DB0" w:rsidP="00BA4DB0">
      <w:pPr>
        <w:ind w:firstLine="420"/>
        <w:rPr>
          <w:kern w:val="0"/>
        </w:rPr>
      </w:pPr>
      <w:r>
        <w:rPr>
          <w:rFonts w:hint="eastAsia"/>
          <w:kern w:val="0"/>
        </w:rPr>
        <w:t>（</w:t>
      </w:r>
      <w:r>
        <w:rPr>
          <w:rFonts w:hint="eastAsia"/>
          <w:kern w:val="0"/>
        </w:rPr>
        <w:t>1</w:t>
      </w:r>
      <w:r>
        <w:rPr>
          <w:rFonts w:hint="eastAsia"/>
          <w:kern w:val="0"/>
        </w:rPr>
        <w:t>）</w:t>
      </w:r>
      <w:r w:rsidRPr="00BA4DB0">
        <w:rPr>
          <w:rFonts w:hint="eastAsia"/>
          <w:kern w:val="0"/>
        </w:rPr>
        <w:t>本基金的场内赎回费率为</w:t>
      </w:r>
      <w:r w:rsidRPr="00BA4DB0">
        <w:rPr>
          <w:rFonts w:hint="eastAsia"/>
          <w:kern w:val="0"/>
        </w:rPr>
        <w:t>0.1%</w:t>
      </w:r>
      <w:r w:rsidRPr="00BA4DB0">
        <w:rPr>
          <w:rFonts w:hint="eastAsia"/>
          <w:kern w:val="0"/>
        </w:rPr>
        <w:t>；</w:t>
      </w:r>
    </w:p>
    <w:p w:rsidR="00BA4DB0" w:rsidRPr="00BA4DB0" w:rsidRDefault="00BA4DB0" w:rsidP="00BA4DB0">
      <w:pPr>
        <w:ind w:firstLine="420"/>
        <w:rPr>
          <w:kern w:val="0"/>
        </w:rPr>
      </w:pPr>
      <w:r>
        <w:rPr>
          <w:rFonts w:hint="eastAsia"/>
          <w:kern w:val="0"/>
        </w:rPr>
        <w:lastRenderedPageBreak/>
        <w:t>（</w:t>
      </w:r>
      <w:r>
        <w:rPr>
          <w:rFonts w:hint="eastAsia"/>
          <w:kern w:val="0"/>
        </w:rPr>
        <w:t>2</w:t>
      </w:r>
      <w:r>
        <w:rPr>
          <w:rFonts w:hint="eastAsia"/>
          <w:kern w:val="0"/>
        </w:rPr>
        <w:t>）</w:t>
      </w:r>
      <w:r w:rsidRPr="00BA4DB0">
        <w:rPr>
          <w:rFonts w:hint="eastAsia"/>
          <w:kern w:val="0"/>
        </w:rPr>
        <w:t>场外赎回费率为：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7"/>
        <w:gridCol w:w="2976"/>
      </w:tblGrid>
      <w:tr w:rsidR="00BA4DB0" w:rsidRPr="00BA4DB0" w:rsidTr="00BA4DB0">
        <w:trPr>
          <w:trHeight w:val="394"/>
          <w:jc w:val="center"/>
        </w:trPr>
        <w:tc>
          <w:tcPr>
            <w:tcW w:w="3197" w:type="dxa"/>
            <w:vAlign w:val="center"/>
          </w:tcPr>
          <w:p w:rsidR="00BA4DB0" w:rsidRPr="00BA4DB0" w:rsidRDefault="00BA4DB0" w:rsidP="00BA4DB0">
            <w:pPr>
              <w:ind w:firstLine="420"/>
              <w:rPr>
                <w:kern w:val="0"/>
              </w:rPr>
            </w:pPr>
            <w:r w:rsidRPr="00BA4DB0">
              <w:rPr>
                <w:rFonts w:hint="eastAsia"/>
                <w:kern w:val="0"/>
              </w:rPr>
              <w:t>持有时间（</w:t>
            </w:r>
            <w:r w:rsidRPr="00BA4DB0">
              <w:rPr>
                <w:rFonts w:hint="eastAsia"/>
                <w:kern w:val="0"/>
              </w:rPr>
              <w:t>D</w:t>
            </w:r>
            <w:r w:rsidRPr="00BA4DB0">
              <w:rPr>
                <w:rFonts w:hint="eastAsia"/>
                <w:kern w:val="0"/>
              </w:rPr>
              <w:t>）</w:t>
            </w:r>
          </w:p>
        </w:tc>
        <w:tc>
          <w:tcPr>
            <w:tcW w:w="2976" w:type="dxa"/>
            <w:vAlign w:val="center"/>
          </w:tcPr>
          <w:p w:rsidR="00BA4DB0" w:rsidRPr="00BA4DB0" w:rsidRDefault="00BA4DB0" w:rsidP="00BA4DB0">
            <w:pPr>
              <w:ind w:firstLine="420"/>
              <w:rPr>
                <w:kern w:val="0"/>
              </w:rPr>
            </w:pPr>
            <w:r w:rsidRPr="00BA4DB0">
              <w:rPr>
                <w:rFonts w:hint="eastAsia"/>
                <w:kern w:val="0"/>
              </w:rPr>
              <w:t>赎回费率</w:t>
            </w:r>
          </w:p>
        </w:tc>
      </w:tr>
      <w:tr w:rsidR="00BA4DB0" w:rsidRPr="00BA4DB0" w:rsidTr="00BA4DB0">
        <w:trPr>
          <w:trHeight w:val="366"/>
          <w:jc w:val="center"/>
        </w:trPr>
        <w:tc>
          <w:tcPr>
            <w:tcW w:w="3197" w:type="dxa"/>
            <w:vAlign w:val="center"/>
          </w:tcPr>
          <w:p w:rsidR="00BA4DB0" w:rsidRPr="00BA4DB0" w:rsidRDefault="00BA4DB0" w:rsidP="00BA4DB0">
            <w:pPr>
              <w:ind w:firstLine="420"/>
              <w:rPr>
                <w:kern w:val="0"/>
              </w:rPr>
            </w:pPr>
            <w:r w:rsidRPr="00BA4DB0">
              <w:rPr>
                <w:rFonts w:hint="eastAsia"/>
                <w:kern w:val="0"/>
              </w:rPr>
              <w:t>0&lt;D&lt;30</w:t>
            </w:r>
            <w:r w:rsidRPr="00BA4DB0">
              <w:rPr>
                <w:rFonts w:hint="eastAsia"/>
                <w:kern w:val="0"/>
              </w:rPr>
              <w:t>天</w:t>
            </w:r>
          </w:p>
        </w:tc>
        <w:tc>
          <w:tcPr>
            <w:tcW w:w="2976" w:type="dxa"/>
            <w:vAlign w:val="center"/>
          </w:tcPr>
          <w:p w:rsidR="00BA4DB0" w:rsidRPr="00BA4DB0" w:rsidRDefault="00BA4DB0" w:rsidP="00BA4DB0">
            <w:pPr>
              <w:ind w:firstLine="420"/>
              <w:rPr>
                <w:kern w:val="0"/>
              </w:rPr>
            </w:pPr>
            <w:r w:rsidRPr="00BA4DB0">
              <w:rPr>
                <w:rFonts w:hint="eastAsia"/>
                <w:kern w:val="0"/>
              </w:rPr>
              <w:t>0.1%</w:t>
            </w:r>
          </w:p>
        </w:tc>
      </w:tr>
      <w:tr w:rsidR="00BA4DB0" w:rsidRPr="00BA4DB0" w:rsidTr="00BA4DB0">
        <w:trPr>
          <w:trHeight w:val="466"/>
          <w:jc w:val="center"/>
        </w:trPr>
        <w:tc>
          <w:tcPr>
            <w:tcW w:w="3197" w:type="dxa"/>
            <w:vAlign w:val="center"/>
          </w:tcPr>
          <w:p w:rsidR="00BA4DB0" w:rsidRPr="00BA4DB0" w:rsidRDefault="00BA4DB0" w:rsidP="00BA4DB0">
            <w:pPr>
              <w:ind w:firstLine="420"/>
              <w:rPr>
                <w:kern w:val="0"/>
              </w:rPr>
            </w:pPr>
            <w:r w:rsidRPr="00BA4DB0">
              <w:rPr>
                <w:rFonts w:hint="eastAsia"/>
                <w:kern w:val="0"/>
              </w:rPr>
              <w:t>D</w:t>
            </w:r>
            <w:r w:rsidRPr="00BA4DB0">
              <w:rPr>
                <w:rFonts w:hint="eastAsia"/>
                <w:kern w:val="0"/>
              </w:rPr>
              <w:t>≥</w:t>
            </w:r>
            <w:r w:rsidRPr="00BA4DB0">
              <w:rPr>
                <w:rFonts w:hint="eastAsia"/>
                <w:kern w:val="0"/>
              </w:rPr>
              <w:t>30</w:t>
            </w:r>
            <w:r w:rsidRPr="00BA4DB0">
              <w:rPr>
                <w:rFonts w:hint="eastAsia"/>
                <w:kern w:val="0"/>
              </w:rPr>
              <w:t>天</w:t>
            </w:r>
          </w:p>
        </w:tc>
        <w:tc>
          <w:tcPr>
            <w:tcW w:w="2976" w:type="dxa"/>
            <w:vAlign w:val="center"/>
          </w:tcPr>
          <w:p w:rsidR="00BA4DB0" w:rsidRPr="00BA4DB0" w:rsidRDefault="00BA4DB0" w:rsidP="00BA4DB0">
            <w:pPr>
              <w:ind w:firstLine="420"/>
              <w:rPr>
                <w:kern w:val="0"/>
              </w:rPr>
            </w:pPr>
            <w:r w:rsidRPr="00BA4DB0">
              <w:rPr>
                <w:rFonts w:hint="eastAsia"/>
                <w:kern w:val="0"/>
              </w:rPr>
              <w:t>0</w:t>
            </w:r>
          </w:p>
        </w:tc>
      </w:tr>
    </w:tbl>
    <w:p w:rsidR="00724003" w:rsidRPr="00724003" w:rsidRDefault="00724003" w:rsidP="00724003">
      <w:pPr>
        <w:ind w:firstLine="420"/>
        <w:rPr>
          <w:kern w:val="0"/>
        </w:rPr>
      </w:pPr>
      <w:r w:rsidRPr="00724003">
        <w:rPr>
          <w:rFonts w:hint="eastAsia"/>
          <w:kern w:val="0"/>
        </w:rPr>
        <w:t>注：</w:t>
      </w:r>
      <w:r w:rsidRPr="00724003">
        <w:rPr>
          <w:rFonts w:hint="eastAsia"/>
          <w:kern w:val="0"/>
        </w:rPr>
        <w:t>1</w:t>
      </w:r>
      <w:r w:rsidRPr="00724003">
        <w:rPr>
          <w:rFonts w:hint="eastAsia"/>
          <w:kern w:val="0"/>
        </w:rPr>
        <w:t>）从场内转至场外的基金份额，其持有期限从转托管确认日开始计算。</w:t>
      </w:r>
    </w:p>
    <w:p w:rsidR="00724003" w:rsidRPr="00724003" w:rsidRDefault="00724003" w:rsidP="00724003">
      <w:pPr>
        <w:ind w:firstLine="420"/>
        <w:rPr>
          <w:kern w:val="0"/>
        </w:rPr>
      </w:pPr>
      <w:r w:rsidRPr="00724003">
        <w:rPr>
          <w:rFonts w:hint="eastAsia"/>
          <w:kern w:val="0"/>
        </w:rPr>
        <w:t>2</w:t>
      </w:r>
      <w:r w:rsidRPr="00724003">
        <w:rPr>
          <w:rFonts w:hint="eastAsia"/>
          <w:kern w:val="0"/>
        </w:rPr>
        <w:t>）对于基金转型后申购的基金份额，其持有期限的起始日为申购的</w:t>
      </w:r>
      <w:r w:rsidR="00FE5069">
        <w:rPr>
          <w:rFonts w:hint="eastAsia"/>
          <w:kern w:val="0"/>
        </w:rPr>
        <w:t>确认</w:t>
      </w:r>
      <w:r w:rsidRPr="00724003">
        <w:rPr>
          <w:rFonts w:hint="eastAsia"/>
          <w:kern w:val="0"/>
        </w:rPr>
        <w:t>日，截止日为赎回的</w:t>
      </w:r>
      <w:r w:rsidR="00FE5069">
        <w:rPr>
          <w:rFonts w:hint="eastAsia"/>
          <w:kern w:val="0"/>
        </w:rPr>
        <w:t>确认</w:t>
      </w:r>
      <w:r w:rsidRPr="00724003">
        <w:rPr>
          <w:rFonts w:hint="eastAsia"/>
          <w:kern w:val="0"/>
        </w:rPr>
        <w:t>日。</w:t>
      </w:r>
    </w:p>
    <w:p w:rsidR="00724003" w:rsidRDefault="00724003" w:rsidP="00724003">
      <w:pPr>
        <w:ind w:firstLine="420"/>
        <w:rPr>
          <w:kern w:val="0"/>
        </w:rPr>
      </w:pPr>
      <w:r w:rsidRPr="00724003">
        <w:rPr>
          <w:rFonts w:hint="eastAsia"/>
          <w:kern w:val="0"/>
        </w:rPr>
        <w:t>3</w:t>
      </w:r>
      <w:r w:rsidRPr="00724003">
        <w:rPr>
          <w:rFonts w:hint="eastAsia"/>
          <w:kern w:val="0"/>
        </w:rPr>
        <w:t>）对于原万家添利分级债券型证券投资基金之万家利</w:t>
      </w:r>
      <w:r w:rsidRPr="00724003">
        <w:rPr>
          <w:rFonts w:hint="eastAsia"/>
          <w:kern w:val="0"/>
        </w:rPr>
        <w:t>A</w:t>
      </w:r>
      <w:r w:rsidRPr="00724003">
        <w:rPr>
          <w:rFonts w:hint="eastAsia"/>
          <w:kern w:val="0"/>
        </w:rPr>
        <w:t>份额</w:t>
      </w:r>
      <w:r w:rsidR="00F9362F">
        <w:rPr>
          <w:rFonts w:hint="eastAsia"/>
          <w:kern w:val="0"/>
        </w:rPr>
        <w:t>或</w:t>
      </w:r>
      <w:r w:rsidRPr="00724003">
        <w:rPr>
          <w:rFonts w:hint="eastAsia"/>
          <w:kern w:val="0"/>
        </w:rPr>
        <w:t>万家利</w:t>
      </w:r>
      <w:r w:rsidRPr="00724003">
        <w:rPr>
          <w:rFonts w:hint="eastAsia"/>
          <w:kern w:val="0"/>
        </w:rPr>
        <w:t>B</w:t>
      </w:r>
      <w:r w:rsidRPr="00724003">
        <w:rPr>
          <w:rFonts w:hint="eastAsia"/>
          <w:kern w:val="0"/>
        </w:rPr>
        <w:t>份额转换为万家添利债券型证券投资基金（</w:t>
      </w:r>
      <w:r w:rsidRPr="00724003">
        <w:rPr>
          <w:rFonts w:hint="eastAsia"/>
          <w:kern w:val="0"/>
        </w:rPr>
        <w:t>LOF</w:t>
      </w:r>
      <w:r w:rsidRPr="00724003">
        <w:rPr>
          <w:rFonts w:hint="eastAsia"/>
          <w:kern w:val="0"/>
        </w:rPr>
        <w:t>）的基金份额，其持有期限将按原万家利</w:t>
      </w:r>
      <w:r w:rsidRPr="00724003">
        <w:rPr>
          <w:rFonts w:hint="eastAsia"/>
          <w:kern w:val="0"/>
        </w:rPr>
        <w:t>A</w:t>
      </w:r>
      <w:r w:rsidRPr="00724003">
        <w:rPr>
          <w:rFonts w:hint="eastAsia"/>
          <w:kern w:val="0"/>
        </w:rPr>
        <w:t>份额</w:t>
      </w:r>
      <w:r w:rsidR="00F9362F">
        <w:rPr>
          <w:rFonts w:hint="eastAsia"/>
          <w:kern w:val="0"/>
        </w:rPr>
        <w:t>或</w:t>
      </w:r>
      <w:r w:rsidRPr="00724003">
        <w:rPr>
          <w:rFonts w:hint="eastAsia"/>
          <w:kern w:val="0"/>
        </w:rPr>
        <w:t>万家利</w:t>
      </w:r>
      <w:r w:rsidRPr="00724003">
        <w:rPr>
          <w:rFonts w:hint="eastAsia"/>
          <w:kern w:val="0"/>
        </w:rPr>
        <w:t>B</w:t>
      </w:r>
      <w:r w:rsidRPr="00724003">
        <w:rPr>
          <w:rFonts w:hint="eastAsia"/>
          <w:kern w:val="0"/>
        </w:rPr>
        <w:t>份额持有期加上万家添利（</w:t>
      </w:r>
      <w:r w:rsidRPr="00724003">
        <w:rPr>
          <w:rFonts w:hint="eastAsia"/>
          <w:kern w:val="0"/>
        </w:rPr>
        <w:t>LOF</w:t>
      </w:r>
      <w:r w:rsidRPr="00724003">
        <w:rPr>
          <w:rFonts w:hint="eastAsia"/>
          <w:kern w:val="0"/>
        </w:rPr>
        <w:t>）份额持有期合并计算。</w:t>
      </w:r>
    </w:p>
    <w:p w:rsidR="00BA4DB0" w:rsidRDefault="00BA4DB0" w:rsidP="00724003">
      <w:pPr>
        <w:ind w:firstLine="420"/>
        <w:rPr>
          <w:kern w:val="0"/>
        </w:rPr>
      </w:pPr>
      <w:r w:rsidRPr="00BA4DB0">
        <w:rPr>
          <w:rFonts w:hint="eastAsia"/>
          <w:kern w:val="0"/>
        </w:rPr>
        <w:t>本基金的</w:t>
      </w:r>
      <w:r w:rsidRPr="00BA4DB0">
        <w:rPr>
          <w:kern w:val="0"/>
        </w:rPr>
        <w:t>赎回费用</w:t>
      </w:r>
      <w:r w:rsidRPr="00BA4DB0">
        <w:rPr>
          <w:rFonts w:hint="eastAsia"/>
          <w:kern w:val="0"/>
        </w:rPr>
        <w:t>在基金份额持有人赎回本基金份额时收取</w:t>
      </w:r>
      <w:r w:rsidRPr="00BA4DB0">
        <w:rPr>
          <w:kern w:val="0"/>
        </w:rPr>
        <w:t>，</w:t>
      </w:r>
      <w:r w:rsidRPr="00BA4DB0">
        <w:rPr>
          <w:rFonts w:hint="eastAsia"/>
          <w:kern w:val="0"/>
        </w:rPr>
        <w:t>本基金赎回费总额的</w:t>
      </w:r>
      <w:r w:rsidRPr="00BA4DB0">
        <w:rPr>
          <w:kern w:val="0"/>
        </w:rPr>
        <w:t>25</w:t>
      </w:r>
      <w:r w:rsidRPr="00BA4DB0">
        <w:rPr>
          <w:rFonts w:hint="eastAsia"/>
          <w:kern w:val="0"/>
        </w:rPr>
        <w:t>%</w:t>
      </w:r>
      <w:r w:rsidRPr="00BA4DB0">
        <w:rPr>
          <w:kern w:val="0"/>
        </w:rPr>
        <w:t>归</w:t>
      </w:r>
      <w:r w:rsidRPr="00BA4DB0">
        <w:rPr>
          <w:rFonts w:hint="eastAsia"/>
          <w:kern w:val="0"/>
        </w:rPr>
        <w:t>入</w:t>
      </w:r>
      <w:r w:rsidRPr="00BA4DB0">
        <w:rPr>
          <w:kern w:val="0"/>
        </w:rPr>
        <w:t>基金</w:t>
      </w:r>
      <w:r w:rsidRPr="00BA4DB0">
        <w:rPr>
          <w:rFonts w:hint="eastAsia"/>
          <w:kern w:val="0"/>
        </w:rPr>
        <w:t>财</w:t>
      </w:r>
      <w:r w:rsidRPr="00BA4DB0">
        <w:rPr>
          <w:kern w:val="0"/>
        </w:rPr>
        <w:t>产，</w:t>
      </w:r>
      <w:r w:rsidRPr="00BA4DB0">
        <w:rPr>
          <w:rFonts w:hint="eastAsia"/>
          <w:kern w:val="0"/>
        </w:rPr>
        <w:t>75%</w:t>
      </w:r>
      <w:r w:rsidRPr="00BA4DB0">
        <w:rPr>
          <w:rFonts w:hint="eastAsia"/>
          <w:kern w:val="0"/>
        </w:rPr>
        <w:t>用于支付</w:t>
      </w:r>
      <w:r w:rsidRPr="00BA4DB0">
        <w:rPr>
          <w:kern w:val="0"/>
        </w:rPr>
        <w:t>注册登记</w:t>
      </w:r>
      <w:r w:rsidRPr="00BA4DB0">
        <w:rPr>
          <w:rFonts w:hint="eastAsia"/>
          <w:kern w:val="0"/>
        </w:rPr>
        <w:t>费和其他必要的</w:t>
      </w:r>
      <w:r w:rsidRPr="00BA4DB0">
        <w:rPr>
          <w:kern w:val="0"/>
        </w:rPr>
        <w:t>手续费</w:t>
      </w:r>
      <w:r w:rsidRPr="00BA4DB0">
        <w:rPr>
          <w:rFonts w:hint="eastAsia"/>
          <w:kern w:val="0"/>
        </w:rPr>
        <w:t>。</w:t>
      </w:r>
    </w:p>
    <w:p w:rsidR="00070EBA" w:rsidRPr="00070EBA" w:rsidRDefault="00070EBA" w:rsidP="00800111">
      <w:pPr>
        <w:pStyle w:val="5"/>
      </w:pPr>
      <w:r w:rsidRPr="00070EBA">
        <w:rPr>
          <w:rFonts w:hint="eastAsia"/>
        </w:rPr>
        <w:t>5</w:t>
      </w:r>
      <w:r>
        <w:rPr>
          <w:rFonts w:hint="eastAsia"/>
        </w:rPr>
        <w:t>、</w:t>
      </w:r>
      <w:r w:rsidRPr="00070EBA">
        <w:rPr>
          <w:rFonts w:hint="eastAsia"/>
        </w:rPr>
        <w:t>日常转换业务</w:t>
      </w:r>
    </w:p>
    <w:p w:rsidR="00070EBA" w:rsidRPr="00070EBA" w:rsidRDefault="00070EBA" w:rsidP="00800111">
      <w:pPr>
        <w:pStyle w:val="5"/>
      </w:pPr>
      <w:r w:rsidRPr="00070EBA">
        <w:rPr>
          <w:rFonts w:hint="eastAsia"/>
        </w:rPr>
        <w:t>5.1</w:t>
      </w:r>
      <w:r w:rsidRPr="00070EBA">
        <w:rPr>
          <w:rFonts w:hint="eastAsia"/>
        </w:rPr>
        <w:t>本公司所有基金间转换费用的计算规则如下：</w:t>
      </w:r>
    </w:p>
    <w:p w:rsidR="00070EBA" w:rsidRPr="00070EBA" w:rsidRDefault="00070EBA" w:rsidP="00070EBA">
      <w:pPr>
        <w:ind w:firstLine="420"/>
        <w:rPr>
          <w:kern w:val="0"/>
        </w:rPr>
      </w:pPr>
      <w:r w:rsidRPr="00070EBA">
        <w:rPr>
          <w:rFonts w:hint="eastAsia"/>
          <w:kern w:val="0"/>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070EBA" w:rsidRPr="00070EBA" w:rsidRDefault="00070EBA" w:rsidP="00070EBA">
      <w:pPr>
        <w:ind w:firstLine="420"/>
        <w:rPr>
          <w:kern w:val="0"/>
        </w:rPr>
      </w:pPr>
      <w:r w:rsidRPr="00070EBA">
        <w:rPr>
          <w:rFonts w:hint="eastAsia"/>
          <w:kern w:val="0"/>
        </w:rPr>
        <w:t>（</w:t>
      </w:r>
      <w:r w:rsidRPr="00070EBA">
        <w:rPr>
          <w:rFonts w:hint="eastAsia"/>
          <w:kern w:val="0"/>
        </w:rPr>
        <w:t>1</w:t>
      </w:r>
      <w:r w:rsidRPr="00070EBA">
        <w:rPr>
          <w:rFonts w:hint="eastAsia"/>
          <w:kern w:val="0"/>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070EBA" w:rsidRPr="00070EBA" w:rsidRDefault="00070EBA" w:rsidP="00070EBA">
      <w:pPr>
        <w:ind w:firstLine="420"/>
        <w:rPr>
          <w:kern w:val="0"/>
        </w:rPr>
      </w:pPr>
      <w:r w:rsidRPr="00070EBA">
        <w:rPr>
          <w:rFonts w:hint="eastAsia"/>
          <w:kern w:val="0"/>
        </w:rPr>
        <w:t>（</w:t>
      </w:r>
      <w:r w:rsidRPr="00070EBA">
        <w:rPr>
          <w:rFonts w:hint="eastAsia"/>
          <w:kern w:val="0"/>
        </w:rPr>
        <w:t>2</w:t>
      </w:r>
      <w:r w:rsidRPr="00070EBA">
        <w:rPr>
          <w:rFonts w:hint="eastAsia"/>
          <w:kern w:val="0"/>
        </w:rPr>
        <w:t>）转出基金赎回费：按转出基金正常赎回时的赎回费率收取费用，赎回费的</w:t>
      </w:r>
      <w:r w:rsidRPr="00070EBA">
        <w:rPr>
          <w:rFonts w:hint="eastAsia"/>
          <w:kern w:val="0"/>
        </w:rPr>
        <w:t>25%</w:t>
      </w:r>
      <w:r w:rsidRPr="00070EBA">
        <w:rPr>
          <w:rFonts w:hint="eastAsia"/>
          <w:kern w:val="0"/>
        </w:rPr>
        <w:t>归入转出基金资产。</w:t>
      </w:r>
    </w:p>
    <w:p w:rsidR="00070EBA" w:rsidRPr="00070EBA" w:rsidRDefault="00070EBA" w:rsidP="00800111">
      <w:pPr>
        <w:pStyle w:val="5"/>
      </w:pPr>
      <w:r w:rsidRPr="00070EBA">
        <w:rPr>
          <w:rFonts w:hint="eastAsia"/>
        </w:rPr>
        <w:t>5.2</w:t>
      </w:r>
      <w:r w:rsidRPr="00070EBA">
        <w:rPr>
          <w:rFonts w:hint="eastAsia"/>
        </w:rPr>
        <w:t>其它与转换相关的业务事项</w:t>
      </w:r>
    </w:p>
    <w:p w:rsidR="00D87A44" w:rsidRPr="005B7051" w:rsidRDefault="00070EBA" w:rsidP="00070EBA">
      <w:pPr>
        <w:ind w:firstLine="420"/>
        <w:rPr>
          <w:kern w:val="0"/>
        </w:rPr>
      </w:pPr>
      <w:r w:rsidRPr="005B7051">
        <w:rPr>
          <w:rFonts w:hint="eastAsia"/>
          <w:kern w:val="0"/>
        </w:rPr>
        <w:t>目前本基金在本公司直销中心、直销网上交易和直销电话委托等渠道开通与</w:t>
      </w:r>
      <w:r w:rsidR="00D87A44" w:rsidRPr="005B7051">
        <w:rPr>
          <w:rFonts w:hint="eastAsia"/>
          <w:kern w:val="0"/>
        </w:rPr>
        <w:t>下列基金之间的转换业务：</w:t>
      </w:r>
    </w:p>
    <w:tbl>
      <w:tblPr>
        <w:tblStyle w:val="a8"/>
        <w:tblW w:w="0" w:type="auto"/>
        <w:tblLook w:val="04A0"/>
      </w:tblPr>
      <w:tblGrid>
        <w:gridCol w:w="4077"/>
        <w:gridCol w:w="2835"/>
        <w:gridCol w:w="1610"/>
      </w:tblGrid>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基金名称</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基金简称</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基金代码</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万家增强收益债券型证券投资基金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万家债券</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161902</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万家行业优选股票型证券投资基金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万家行业优选</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161903</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lastRenderedPageBreak/>
              <w:t>万家中证红利指数证券投资基金（</w:t>
            </w:r>
            <w:r w:rsidRPr="005B7051">
              <w:rPr>
                <w:rFonts w:hint="eastAsia"/>
                <w:kern w:val="0"/>
              </w:rPr>
              <w:t>LOF</w:t>
            </w:r>
            <w:r w:rsidRPr="005B7051">
              <w:rPr>
                <w:rFonts w:hint="eastAsia"/>
                <w:kern w:val="0"/>
              </w:rPr>
              <w:t>）</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万家红利</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161907</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万家中证创业成长指数分级证券投资基金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万家中证创业成长指数分级</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161910</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w:t>
            </w:r>
            <w:r w:rsidRPr="005B7051">
              <w:rPr>
                <w:rFonts w:hint="eastAsia"/>
                <w:kern w:val="0"/>
              </w:rPr>
              <w:t>180</w:t>
            </w:r>
            <w:r w:rsidRPr="005B7051">
              <w:rPr>
                <w:rFonts w:hint="eastAsia"/>
                <w:kern w:val="0"/>
              </w:rPr>
              <w:t>指数证券投资基金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w:t>
            </w:r>
            <w:r w:rsidRPr="005B7051">
              <w:rPr>
                <w:rFonts w:hint="eastAsia"/>
                <w:kern w:val="0"/>
              </w:rPr>
              <w:t>180</w:t>
            </w:r>
            <w:r w:rsidRPr="005B7051">
              <w:rPr>
                <w:rFonts w:hint="eastAsia"/>
                <w:kern w:val="0"/>
              </w:rPr>
              <w:t>指数</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519180</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万家货币市场证券投资基金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万家货币</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A</w:t>
            </w:r>
            <w:r w:rsidRPr="005B7051">
              <w:rPr>
                <w:rFonts w:hint="eastAsia"/>
                <w:kern w:val="0"/>
              </w:rPr>
              <w:t>类：</w:t>
            </w:r>
            <w:r w:rsidRPr="005B7051">
              <w:rPr>
                <w:rFonts w:hint="eastAsia"/>
                <w:kern w:val="0"/>
              </w:rPr>
              <w:t>519508</w:t>
            </w:r>
            <w:r w:rsidRPr="005B7051">
              <w:rPr>
                <w:rFonts w:hint="eastAsia"/>
                <w:kern w:val="0"/>
              </w:rPr>
              <w:t>，</w:t>
            </w:r>
            <w:r w:rsidRPr="005B7051">
              <w:rPr>
                <w:rFonts w:hint="eastAsia"/>
                <w:kern w:val="0"/>
              </w:rPr>
              <w:t>B</w:t>
            </w:r>
            <w:r w:rsidRPr="005B7051">
              <w:rPr>
                <w:rFonts w:hint="eastAsia"/>
                <w:kern w:val="0"/>
              </w:rPr>
              <w:t>类：</w:t>
            </w:r>
            <w:r w:rsidRPr="005B7051">
              <w:rPr>
                <w:rFonts w:hint="eastAsia"/>
                <w:kern w:val="0"/>
              </w:rPr>
              <w:t>519507</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万家和谐增长混合型证券投资基金（前端收费模式）</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万家和谐（前）</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519181</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万家双引擎灵活配置混合型证券投资基金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万家引擎</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519183</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万家精选股票型证券投资基金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万家精选</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519185</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万家稳健增利债券型证券投资基金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万家稳增</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A</w:t>
            </w:r>
            <w:r w:rsidRPr="005B7051">
              <w:rPr>
                <w:rFonts w:hint="eastAsia"/>
                <w:kern w:val="0"/>
              </w:rPr>
              <w:t>类：</w:t>
            </w:r>
            <w:r w:rsidRPr="005B7051">
              <w:rPr>
                <w:rFonts w:hint="eastAsia"/>
                <w:kern w:val="0"/>
              </w:rPr>
              <w:t>519186</w:t>
            </w:r>
            <w:r w:rsidRPr="005B7051">
              <w:rPr>
                <w:rFonts w:hint="eastAsia"/>
                <w:kern w:val="0"/>
              </w:rPr>
              <w:t>，</w:t>
            </w:r>
            <w:r w:rsidRPr="005B7051">
              <w:rPr>
                <w:rFonts w:hint="eastAsia"/>
                <w:kern w:val="0"/>
              </w:rPr>
              <w:t>C</w:t>
            </w:r>
            <w:r w:rsidRPr="005B7051">
              <w:rPr>
                <w:rFonts w:hint="eastAsia"/>
                <w:kern w:val="0"/>
              </w:rPr>
              <w:t>类：</w:t>
            </w:r>
            <w:r w:rsidRPr="005B7051">
              <w:rPr>
                <w:rFonts w:hint="eastAsia"/>
                <w:kern w:val="0"/>
              </w:rPr>
              <w:t>519187</w:t>
            </w:r>
          </w:p>
        </w:tc>
      </w:tr>
      <w:tr w:rsidR="00D87A44" w:rsidRPr="005B7051" w:rsidTr="00D87A44">
        <w:tc>
          <w:tcPr>
            <w:tcW w:w="4077" w:type="dxa"/>
          </w:tcPr>
          <w:p w:rsidR="00D87A44" w:rsidRPr="005B7051" w:rsidRDefault="00D87A44" w:rsidP="00A3564A">
            <w:pPr>
              <w:spacing w:line="360" w:lineRule="auto"/>
              <w:ind w:firstLineChars="0" w:firstLine="0"/>
              <w:rPr>
                <w:kern w:val="0"/>
              </w:rPr>
            </w:pPr>
            <w:r w:rsidRPr="005B7051">
              <w:rPr>
                <w:rFonts w:hint="eastAsia"/>
                <w:kern w:val="0"/>
              </w:rPr>
              <w:t>万家信用恒利债券型证券投资基金</w:t>
            </w:r>
          </w:p>
        </w:tc>
        <w:tc>
          <w:tcPr>
            <w:tcW w:w="2835" w:type="dxa"/>
          </w:tcPr>
          <w:p w:rsidR="00D87A44" w:rsidRPr="005B7051" w:rsidRDefault="00D87A44" w:rsidP="00A3564A">
            <w:pPr>
              <w:spacing w:line="360" w:lineRule="auto"/>
              <w:ind w:firstLineChars="0" w:firstLine="0"/>
              <w:rPr>
                <w:kern w:val="0"/>
              </w:rPr>
            </w:pPr>
            <w:r w:rsidRPr="005B7051">
              <w:rPr>
                <w:rFonts w:hint="eastAsia"/>
                <w:kern w:val="0"/>
              </w:rPr>
              <w:t>万家恒利</w:t>
            </w:r>
          </w:p>
        </w:tc>
        <w:tc>
          <w:tcPr>
            <w:tcW w:w="1610" w:type="dxa"/>
          </w:tcPr>
          <w:p w:rsidR="00D87A44" w:rsidRPr="005B7051" w:rsidRDefault="00D87A44" w:rsidP="00A3564A">
            <w:pPr>
              <w:spacing w:line="360" w:lineRule="auto"/>
              <w:ind w:firstLineChars="0" w:firstLine="0"/>
              <w:rPr>
                <w:kern w:val="0"/>
              </w:rPr>
            </w:pPr>
            <w:r w:rsidRPr="005B7051">
              <w:rPr>
                <w:rFonts w:hint="eastAsia"/>
                <w:kern w:val="0"/>
              </w:rPr>
              <w:t>A</w:t>
            </w:r>
            <w:r w:rsidRPr="005B7051">
              <w:rPr>
                <w:rFonts w:hint="eastAsia"/>
                <w:kern w:val="0"/>
              </w:rPr>
              <w:t>类：</w:t>
            </w:r>
            <w:r w:rsidRPr="005B7051">
              <w:rPr>
                <w:rFonts w:hint="eastAsia"/>
                <w:kern w:val="0"/>
              </w:rPr>
              <w:t>519188</w:t>
            </w:r>
            <w:r w:rsidRPr="005B7051">
              <w:rPr>
                <w:rFonts w:hint="eastAsia"/>
                <w:kern w:val="0"/>
              </w:rPr>
              <w:t>，</w:t>
            </w:r>
            <w:r w:rsidRPr="005B7051">
              <w:rPr>
                <w:rFonts w:hint="eastAsia"/>
                <w:kern w:val="0"/>
              </w:rPr>
              <w:t>C</w:t>
            </w:r>
            <w:r w:rsidRPr="005B7051">
              <w:rPr>
                <w:rFonts w:hint="eastAsia"/>
                <w:kern w:val="0"/>
              </w:rPr>
              <w:t>类：</w:t>
            </w:r>
            <w:r w:rsidRPr="005B7051">
              <w:rPr>
                <w:rFonts w:hint="eastAsia"/>
                <w:kern w:val="0"/>
              </w:rPr>
              <w:t>519189</w:t>
            </w:r>
          </w:p>
        </w:tc>
      </w:tr>
      <w:tr w:rsidR="00420C05" w:rsidRPr="005B7051" w:rsidTr="00D87A44">
        <w:tc>
          <w:tcPr>
            <w:tcW w:w="4077" w:type="dxa"/>
          </w:tcPr>
          <w:p w:rsidR="00420C05" w:rsidRPr="005B7051" w:rsidRDefault="00420C05" w:rsidP="00420C05">
            <w:pPr>
              <w:spacing w:line="360" w:lineRule="auto"/>
              <w:ind w:firstLineChars="0" w:firstLine="0"/>
              <w:rPr>
                <w:kern w:val="0"/>
              </w:rPr>
            </w:pPr>
            <w:r w:rsidRPr="005B7051">
              <w:rPr>
                <w:rFonts w:hint="eastAsia"/>
                <w:kern w:val="0"/>
              </w:rPr>
              <w:t>万家</w:t>
            </w:r>
            <w:r>
              <w:rPr>
                <w:rFonts w:hint="eastAsia"/>
                <w:kern w:val="0"/>
              </w:rPr>
              <w:t>日日薪货币市场</w:t>
            </w:r>
            <w:r w:rsidRPr="005B7051">
              <w:rPr>
                <w:rFonts w:hint="eastAsia"/>
                <w:kern w:val="0"/>
              </w:rPr>
              <w:t>证券投资基金</w:t>
            </w:r>
          </w:p>
        </w:tc>
        <w:tc>
          <w:tcPr>
            <w:tcW w:w="2835" w:type="dxa"/>
          </w:tcPr>
          <w:p w:rsidR="00420C05" w:rsidRPr="005B7051" w:rsidRDefault="00420C05" w:rsidP="00420C05">
            <w:pPr>
              <w:spacing w:line="360" w:lineRule="auto"/>
              <w:ind w:firstLineChars="0" w:firstLine="0"/>
              <w:rPr>
                <w:kern w:val="0"/>
              </w:rPr>
            </w:pPr>
            <w:r>
              <w:rPr>
                <w:rFonts w:hint="eastAsia"/>
                <w:kern w:val="0"/>
              </w:rPr>
              <w:t>万家日日薪</w:t>
            </w:r>
          </w:p>
        </w:tc>
        <w:tc>
          <w:tcPr>
            <w:tcW w:w="1610" w:type="dxa"/>
          </w:tcPr>
          <w:p w:rsidR="00420C05" w:rsidRDefault="00420C05" w:rsidP="00420C05">
            <w:pPr>
              <w:spacing w:line="360" w:lineRule="auto"/>
              <w:ind w:firstLineChars="0" w:firstLine="0"/>
              <w:rPr>
                <w:kern w:val="0"/>
              </w:rPr>
            </w:pPr>
            <w:r>
              <w:rPr>
                <w:rFonts w:hint="eastAsia"/>
                <w:kern w:val="0"/>
              </w:rPr>
              <w:t>A</w:t>
            </w:r>
            <w:r>
              <w:rPr>
                <w:rFonts w:hint="eastAsia"/>
                <w:kern w:val="0"/>
              </w:rPr>
              <w:t>类：</w:t>
            </w:r>
            <w:r>
              <w:rPr>
                <w:rFonts w:hint="eastAsia"/>
                <w:kern w:val="0"/>
              </w:rPr>
              <w:t>519511</w:t>
            </w:r>
          </w:p>
          <w:p w:rsidR="00420C05" w:rsidRPr="005B7051" w:rsidRDefault="00420C05" w:rsidP="00420C05">
            <w:pPr>
              <w:spacing w:line="360" w:lineRule="auto"/>
              <w:ind w:firstLineChars="0" w:firstLine="0"/>
              <w:rPr>
                <w:kern w:val="0"/>
              </w:rPr>
            </w:pPr>
            <w:r>
              <w:rPr>
                <w:rFonts w:hint="eastAsia"/>
                <w:kern w:val="0"/>
              </w:rPr>
              <w:t>B</w:t>
            </w:r>
            <w:r>
              <w:rPr>
                <w:rFonts w:hint="eastAsia"/>
                <w:kern w:val="0"/>
              </w:rPr>
              <w:t>类：</w:t>
            </w:r>
            <w:r>
              <w:rPr>
                <w:rFonts w:hint="eastAsia"/>
                <w:kern w:val="0"/>
              </w:rPr>
              <w:t>519512</w:t>
            </w:r>
          </w:p>
        </w:tc>
      </w:tr>
      <w:tr w:rsidR="00590CF2" w:rsidRPr="005B7051" w:rsidTr="00D87A44">
        <w:tc>
          <w:tcPr>
            <w:tcW w:w="4077" w:type="dxa"/>
          </w:tcPr>
          <w:p w:rsidR="00590CF2" w:rsidRPr="005B7051" w:rsidRDefault="00590CF2" w:rsidP="00590CF2">
            <w:pPr>
              <w:spacing w:line="360" w:lineRule="auto"/>
              <w:ind w:firstLineChars="0" w:firstLine="0"/>
              <w:rPr>
                <w:kern w:val="0"/>
              </w:rPr>
            </w:pPr>
            <w:r>
              <w:rPr>
                <w:rFonts w:hint="eastAsia"/>
                <w:kern w:val="0"/>
              </w:rPr>
              <w:t>万家城市建设主题纯债债券型证券投资基金</w:t>
            </w:r>
          </w:p>
        </w:tc>
        <w:tc>
          <w:tcPr>
            <w:tcW w:w="2835" w:type="dxa"/>
          </w:tcPr>
          <w:p w:rsidR="00590CF2" w:rsidRPr="00590CF2" w:rsidRDefault="00590CF2" w:rsidP="00590CF2">
            <w:pPr>
              <w:spacing w:line="360" w:lineRule="auto"/>
              <w:ind w:firstLineChars="0" w:firstLine="0"/>
              <w:rPr>
                <w:kern w:val="0"/>
              </w:rPr>
            </w:pPr>
            <w:r>
              <w:rPr>
                <w:rFonts w:hint="eastAsia"/>
                <w:kern w:val="0"/>
              </w:rPr>
              <w:t>万家城建</w:t>
            </w:r>
          </w:p>
        </w:tc>
        <w:tc>
          <w:tcPr>
            <w:tcW w:w="1610" w:type="dxa"/>
          </w:tcPr>
          <w:p w:rsidR="00590CF2" w:rsidRDefault="00590CF2" w:rsidP="00590CF2">
            <w:pPr>
              <w:spacing w:line="360" w:lineRule="auto"/>
              <w:ind w:firstLineChars="0" w:firstLine="0"/>
              <w:rPr>
                <w:kern w:val="0"/>
              </w:rPr>
            </w:pPr>
            <w:r>
              <w:rPr>
                <w:rFonts w:hint="eastAsia"/>
                <w:kern w:val="0"/>
              </w:rPr>
              <w:t>519191</w:t>
            </w:r>
          </w:p>
        </w:tc>
      </w:tr>
    </w:tbl>
    <w:p w:rsidR="00D87A44" w:rsidRPr="005B7051" w:rsidRDefault="00D87A44" w:rsidP="00070EBA">
      <w:pPr>
        <w:ind w:firstLine="420"/>
        <w:rPr>
          <w:kern w:val="0"/>
        </w:rPr>
      </w:pPr>
    </w:p>
    <w:p w:rsidR="00070EBA" w:rsidRPr="005B7051" w:rsidRDefault="00070EBA" w:rsidP="00070EBA">
      <w:pPr>
        <w:ind w:firstLine="420"/>
        <w:rPr>
          <w:kern w:val="0"/>
        </w:rPr>
      </w:pPr>
      <w:r w:rsidRPr="005B7051">
        <w:rPr>
          <w:rFonts w:hint="eastAsia"/>
          <w:kern w:val="0"/>
        </w:rPr>
        <w:t>本公司对通过直销网上交易和电话委托进行的基金转换申购补差费实施优惠，详情如下：</w:t>
      </w:r>
    </w:p>
    <w:p w:rsidR="00070EBA" w:rsidRPr="005B7051" w:rsidRDefault="00070EBA" w:rsidP="00070EBA">
      <w:pPr>
        <w:ind w:firstLine="420"/>
        <w:rPr>
          <w:kern w:val="0"/>
        </w:rPr>
      </w:pPr>
      <w:r w:rsidRPr="005B7051">
        <w:rPr>
          <w:rFonts w:hint="eastAsia"/>
          <w:kern w:val="0"/>
        </w:rPr>
        <w:t>（</w:t>
      </w:r>
      <w:r w:rsidRPr="005B7051">
        <w:rPr>
          <w:rFonts w:hint="eastAsia"/>
          <w:kern w:val="0"/>
        </w:rPr>
        <w:t>1</w:t>
      </w:r>
      <w:r w:rsidRPr="005B7051">
        <w:rPr>
          <w:rFonts w:hint="eastAsia"/>
          <w:kern w:val="0"/>
        </w:rPr>
        <w:t>）由零申购费率基金转换为非零申购费率基金时，申购补差费率为转入基金标准申购费率的四折。但转入基金标准申购费率高于</w:t>
      </w:r>
      <w:r w:rsidRPr="005B7051">
        <w:rPr>
          <w:rFonts w:hint="eastAsia"/>
          <w:kern w:val="0"/>
        </w:rPr>
        <w:t>0.6%</w:t>
      </w:r>
      <w:r w:rsidRPr="005B7051">
        <w:rPr>
          <w:rFonts w:hint="eastAsia"/>
          <w:kern w:val="0"/>
        </w:rPr>
        <w:t>时，优惠后申购补差费率不低于</w:t>
      </w:r>
      <w:r w:rsidRPr="005B7051">
        <w:rPr>
          <w:rFonts w:hint="eastAsia"/>
          <w:kern w:val="0"/>
        </w:rPr>
        <w:t>0.6%</w:t>
      </w:r>
      <w:r w:rsidRPr="005B7051">
        <w:rPr>
          <w:rFonts w:hint="eastAsia"/>
          <w:kern w:val="0"/>
        </w:rPr>
        <w:t>；转入基金标准申购费率低于</w:t>
      </w:r>
      <w:r w:rsidRPr="005B7051">
        <w:rPr>
          <w:rFonts w:hint="eastAsia"/>
          <w:kern w:val="0"/>
        </w:rPr>
        <w:t>0.6%</w:t>
      </w:r>
      <w:r w:rsidRPr="005B7051">
        <w:rPr>
          <w:rFonts w:hint="eastAsia"/>
          <w:kern w:val="0"/>
        </w:rPr>
        <w:t>时，申购补差费率按转入基金标准申购费率执行。</w:t>
      </w:r>
    </w:p>
    <w:p w:rsidR="00070EBA" w:rsidRPr="005B7051" w:rsidRDefault="00070EBA" w:rsidP="00070EBA">
      <w:pPr>
        <w:ind w:firstLine="420"/>
        <w:rPr>
          <w:kern w:val="0"/>
        </w:rPr>
      </w:pPr>
      <w:r w:rsidRPr="005B7051">
        <w:rPr>
          <w:rFonts w:hint="eastAsia"/>
          <w:kern w:val="0"/>
        </w:rPr>
        <w:t>（</w:t>
      </w:r>
      <w:r w:rsidRPr="005B7051">
        <w:rPr>
          <w:rFonts w:hint="eastAsia"/>
          <w:kern w:val="0"/>
        </w:rPr>
        <w:t>2</w:t>
      </w:r>
      <w:r w:rsidRPr="005B7051">
        <w:rPr>
          <w:rFonts w:hint="eastAsia"/>
          <w:kern w:val="0"/>
        </w:rPr>
        <w:t>）转出基金申购费率低于转入基金申购费率时，按转出基金与转入基金的申购优惠费率之差的四折收取申购费补差。</w:t>
      </w:r>
    </w:p>
    <w:p w:rsidR="00070EBA" w:rsidRPr="005B7051" w:rsidRDefault="00070EBA" w:rsidP="00070EBA">
      <w:pPr>
        <w:ind w:firstLine="420"/>
        <w:rPr>
          <w:kern w:val="0"/>
        </w:rPr>
      </w:pPr>
      <w:r w:rsidRPr="005B7051">
        <w:rPr>
          <w:rFonts w:hint="eastAsia"/>
          <w:kern w:val="0"/>
        </w:rPr>
        <w:t>（</w:t>
      </w:r>
      <w:r w:rsidRPr="005B7051">
        <w:rPr>
          <w:rFonts w:hint="eastAsia"/>
          <w:kern w:val="0"/>
        </w:rPr>
        <w:t>3</w:t>
      </w:r>
      <w:r w:rsidRPr="005B7051">
        <w:rPr>
          <w:rFonts w:hint="eastAsia"/>
          <w:kern w:val="0"/>
        </w:rPr>
        <w:t>）转出基金申购费率高于或等于转入基金申购费率时，申购费补差为零。</w:t>
      </w:r>
    </w:p>
    <w:p w:rsidR="00070EBA" w:rsidRPr="00070EBA" w:rsidRDefault="00070EBA" w:rsidP="00070EBA">
      <w:pPr>
        <w:ind w:firstLine="420"/>
        <w:rPr>
          <w:kern w:val="0"/>
        </w:rPr>
      </w:pPr>
      <w:r w:rsidRPr="005B7051">
        <w:rPr>
          <w:rFonts w:hint="eastAsia"/>
          <w:kern w:val="0"/>
        </w:rPr>
        <w:t>（</w:t>
      </w:r>
      <w:r w:rsidRPr="005B7051">
        <w:rPr>
          <w:rFonts w:hint="eastAsia"/>
          <w:kern w:val="0"/>
        </w:rPr>
        <w:t>4</w:t>
      </w:r>
      <w:r w:rsidRPr="005B7051">
        <w:rPr>
          <w:rFonts w:hint="eastAsia"/>
          <w:kern w:val="0"/>
        </w:rPr>
        <w:t>）投资者持有的万家货币基金网上直销（现金宝）份额在转换为公司旗下其它基金时，原申购补差费率不为零的折扣将降为</w:t>
      </w:r>
      <w:r w:rsidRPr="005B7051">
        <w:rPr>
          <w:rFonts w:hint="eastAsia"/>
          <w:kern w:val="0"/>
        </w:rPr>
        <w:t>1</w:t>
      </w:r>
      <w:r w:rsidRPr="005B7051">
        <w:rPr>
          <w:rFonts w:hint="eastAsia"/>
          <w:kern w:val="0"/>
        </w:rPr>
        <w:t>折，原申购补差费为零及按笔收取固定费用的仍按原费用执行。</w:t>
      </w:r>
    </w:p>
    <w:p w:rsidR="00070EBA" w:rsidRPr="00070EBA" w:rsidRDefault="00070EBA" w:rsidP="00800111">
      <w:pPr>
        <w:pStyle w:val="5"/>
      </w:pPr>
      <w:r w:rsidRPr="00070EBA">
        <w:rPr>
          <w:rFonts w:hint="eastAsia"/>
        </w:rPr>
        <w:lastRenderedPageBreak/>
        <w:t>6</w:t>
      </w:r>
      <w:r w:rsidR="00800111">
        <w:rPr>
          <w:rFonts w:hint="eastAsia"/>
        </w:rPr>
        <w:t>、</w:t>
      </w:r>
      <w:r w:rsidRPr="00070EBA">
        <w:rPr>
          <w:rFonts w:hint="eastAsia"/>
        </w:rPr>
        <w:t>定期定额投资业务</w:t>
      </w:r>
      <w:r w:rsidRPr="00070EBA">
        <w:rPr>
          <w:rFonts w:hint="eastAsia"/>
        </w:rPr>
        <w:t xml:space="preserve"> </w:t>
      </w:r>
    </w:p>
    <w:p w:rsidR="00070EBA" w:rsidRPr="00070EBA" w:rsidRDefault="00070EBA" w:rsidP="00070EBA">
      <w:pPr>
        <w:ind w:firstLine="420"/>
        <w:rPr>
          <w:kern w:val="0"/>
        </w:rPr>
      </w:pPr>
      <w:r w:rsidRPr="00070EBA">
        <w:rPr>
          <w:rFonts w:hint="eastAsia"/>
          <w:kern w:val="0"/>
        </w:rPr>
        <w:t>“定期定额投资业务”是投资者可通过本公司指定的基金销售机构提交申请，约定每期扣款日、扣款金额及扣款方式，由销售机构于每期约定扣款日在投资者指定银行账户内自动完成扣款及基金申购申请的一种投资方式。</w:t>
      </w:r>
    </w:p>
    <w:p w:rsidR="00070EBA" w:rsidRPr="00070EBA" w:rsidRDefault="00070EBA" w:rsidP="00070EBA">
      <w:pPr>
        <w:ind w:firstLine="420"/>
        <w:rPr>
          <w:kern w:val="0"/>
        </w:rPr>
      </w:pPr>
      <w:r w:rsidRPr="00070EBA">
        <w:rPr>
          <w:rFonts w:hint="eastAsia"/>
          <w:kern w:val="0"/>
        </w:rPr>
        <w:t>投资者在办理相关基金</w:t>
      </w:r>
      <w:r w:rsidR="00DC2C83">
        <w:rPr>
          <w:rFonts w:hint="eastAsia"/>
          <w:kern w:val="0"/>
        </w:rPr>
        <w:t>“</w:t>
      </w:r>
      <w:r w:rsidRPr="00070EBA">
        <w:rPr>
          <w:rFonts w:hint="eastAsia"/>
          <w:kern w:val="0"/>
        </w:rPr>
        <w:t>定期定额投资业务</w:t>
      </w:r>
      <w:r w:rsidR="00DC2C83">
        <w:rPr>
          <w:rFonts w:hint="eastAsia"/>
          <w:kern w:val="0"/>
        </w:rPr>
        <w:t>”</w:t>
      </w:r>
      <w:r w:rsidRPr="00070EBA">
        <w:rPr>
          <w:rFonts w:hint="eastAsia"/>
          <w:kern w:val="0"/>
        </w:rPr>
        <w:t>的同时，仍然可以进行日常申购、赎回及转换业务。投资者可与销售机构就本基金申请定期定额投资业务约定每期固定扣款金额，定期定额申购每期最低扣款金额不少于人民币</w:t>
      </w:r>
      <w:r w:rsidRPr="00070EBA">
        <w:rPr>
          <w:rFonts w:hint="eastAsia"/>
          <w:kern w:val="0"/>
        </w:rPr>
        <w:t>100</w:t>
      </w:r>
      <w:r w:rsidRPr="00070EBA">
        <w:rPr>
          <w:rFonts w:hint="eastAsia"/>
          <w:kern w:val="0"/>
        </w:rPr>
        <w:t>元。具体最低扣款金额遵循投资者所开户的销售机构的规定。</w:t>
      </w:r>
    </w:p>
    <w:p w:rsidR="00070EBA" w:rsidRDefault="00070EBA" w:rsidP="00070EBA">
      <w:pPr>
        <w:ind w:firstLine="420"/>
        <w:rPr>
          <w:kern w:val="0"/>
        </w:rPr>
      </w:pPr>
      <w:r w:rsidRPr="00070EBA">
        <w:rPr>
          <w:rFonts w:hint="eastAsia"/>
          <w:kern w:val="0"/>
        </w:rPr>
        <w:t>定期定额申购业务的申购费率等同于正常申购费率，计费方式等同于正常的申购业务，如有费率优惠以销售机构相关公告为准。</w:t>
      </w:r>
    </w:p>
    <w:p w:rsidR="00F131FE" w:rsidRDefault="00F131FE" w:rsidP="00F131FE">
      <w:pPr>
        <w:pStyle w:val="5"/>
      </w:pPr>
      <w:r>
        <w:rPr>
          <w:rFonts w:hint="eastAsia"/>
        </w:rPr>
        <w:t>7</w:t>
      </w:r>
      <w:r>
        <w:rPr>
          <w:rFonts w:hint="eastAsia"/>
        </w:rPr>
        <w:t>、开通</w:t>
      </w:r>
      <w:r w:rsidR="00A83F98">
        <w:rPr>
          <w:rFonts w:hint="eastAsia"/>
        </w:rPr>
        <w:t>系统内转托管和</w:t>
      </w:r>
      <w:r>
        <w:rPr>
          <w:rFonts w:hint="eastAsia"/>
        </w:rPr>
        <w:t>跨系统转托管</w:t>
      </w:r>
      <w:r w:rsidR="00A83F98">
        <w:rPr>
          <w:rFonts w:hint="eastAsia"/>
        </w:rPr>
        <w:t>业务</w:t>
      </w:r>
    </w:p>
    <w:p w:rsidR="00F131FE" w:rsidRPr="00293C6B" w:rsidRDefault="00F131FE" w:rsidP="00F131FE">
      <w:pPr>
        <w:ind w:firstLine="420"/>
        <w:rPr>
          <w:kern w:val="0"/>
        </w:rPr>
      </w:pPr>
      <w:r w:rsidRPr="00293C6B">
        <w:rPr>
          <w:rFonts w:hint="eastAsia"/>
          <w:kern w:val="0"/>
        </w:rPr>
        <w:t>为了保证基金份额持有人的利益，经本基金管理人向</w:t>
      </w:r>
      <w:r w:rsidR="00F9362F" w:rsidRPr="00293C6B">
        <w:rPr>
          <w:rFonts w:hint="eastAsia"/>
          <w:kern w:val="0"/>
        </w:rPr>
        <w:t>中国证券登记结算有限责任公司</w:t>
      </w:r>
      <w:r w:rsidR="00F9362F">
        <w:rPr>
          <w:rFonts w:hint="eastAsia"/>
          <w:kern w:val="0"/>
        </w:rPr>
        <w:t>和</w:t>
      </w:r>
      <w:r w:rsidRPr="00293C6B">
        <w:rPr>
          <w:rFonts w:hint="eastAsia"/>
          <w:kern w:val="0"/>
        </w:rPr>
        <w:t>深圳证券交易所提出申请，将自</w:t>
      </w:r>
      <w:r w:rsidRPr="00293C6B">
        <w:rPr>
          <w:rFonts w:hint="eastAsia"/>
          <w:kern w:val="0"/>
        </w:rPr>
        <w:t>2014</w:t>
      </w:r>
      <w:r w:rsidRPr="00293C6B">
        <w:rPr>
          <w:rFonts w:hint="eastAsia"/>
          <w:kern w:val="0"/>
        </w:rPr>
        <w:t>年</w:t>
      </w:r>
      <w:r w:rsidRPr="00293C6B">
        <w:rPr>
          <w:rFonts w:hint="eastAsia"/>
          <w:kern w:val="0"/>
        </w:rPr>
        <w:t>6</w:t>
      </w:r>
      <w:r w:rsidRPr="00293C6B">
        <w:rPr>
          <w:rFonts w:hint="eastAsia"/>
          <w:kern w:val="0"/>
        </w:rPr>
        <w:t>月</w:t>
      </w:r>
      <w:r w:rsidR="00C825C6">
        <w:rPr>
          <w:rFonts w:hint="eastAsia"/>
          <w:kern w:val="0"/>
        </w:rPr>
        <w:t>6</w:t>
      </w:r>
      <w:r w:rsidRPr="00293C6B">
        <w:rPr>
          <w:rFonts w:hint="eastAsia"/>
          <w:kern w:val="0"/>
        </w:rPr>
        <w:t>日开通办理本基金份额（基金代码：</w:t>
      </w:r>
      <w:r w:rsidRPr="00293C6B">
        <w:rPr>
          <w:rFonts w:hint="eastAsia"/>
          <w:kern w:val="0"/>
        </w:rPr>
        <w:t>161</w:t>
      </w:r>
      <w:r>
        <w:rPr>
          <w:rFonts w:hint="eastAsia"/>
          <w:kern w:val="0"/>
        </w:rPr>
        <w:t>908</w:t>
      </w:r>
      <w:r w:rsidRPr="00293C6B">
        <w:rPr>
          <w:rFonts w:hint="eastAsia"/>
          <w:kern w:val="0"/>
        </w:rPr>
        <w:t>，场内简称：</w:t>
      </w:r>
      <w:r>
        <w:rPr>
          <w:rFonts w:hint="eastAsia"/>
          <w:kern w:val="0"/>
        </w:rPr>
        <w:t>万家添利</w:t>
      </w:r>
      <w:r w:rsidRPr="00293C6B">
        <w:rPr>
          <w:rFonts w:hint="eastAsia"/>
          <w:kern w:val="0"/>
        </w:rPr>
        <w:t>）的系统内转托管和跨系统转托管业务。</w:t>
      </w:r>
    </w:p>
    <w:p w:rsidR="00F131FE" w:rsidRPr="00293C6B" w:rsidRDefault="00F131FE" w:rsidP="00F131FE">
      <w:pPr>
        <w:ind w:firstLine="420"/>
        <w:rPr>
          <w:kern w:val="0"/>
        </w:rPr>
      </w:pPr>
      <w:r w:rsidRPr="00293C6B">
        <w:rPr>
          <w:rFonts w:hint="eastAsia"/>
          <w:kern w:val="0"/>
        </w:rPr>
        <w:t>投资者自</w:t>
      </w:r>
      <w:r w:rsidRPr="00293C6B">
        <w:rPr>
          <w:rFonts w:hint="eastAsia"/>
          <w:kern w:val="0"/>
        </w:rPr>
        <w:t>2014</w:t>
      </w:r>
      <w:r w:rsidRPr="00293C6B">
        <w:rPr>
          <w:rFonts w:hint="eastAsia"/>
          <w:kern w:val="0"/>
        </w:rPr>
        <w:t>年</w:t>
      </w:r>
      <w:r w:rsidRPr="00293C6B">
        <w:rPr>
          <w:rFonts w:hint="eastAsia"/>
          <w:kern w:val="0"/>
        </w:rPr>
        <w:t>6</w:t>
      </w:r>
      <w:r w:rsidRPr="00293C6B">
        <w:rPr>
          <w:rFonts w:hint="eastAsia"/>
          <w:kern w:val="0"/>
        </w:rPr>
        <w:t>月</w:t>
      </w:r>
      <w:r>
        <w:rPr>
          <w:rFonts w:hint="eastAsia"/>
          <w:kern w:val="0"/>
        </w:rPr>
        <w:t>6</w:t>
      </w:r>
      <w:r w:rsidRPr="00293C6B">
        <w:rPr>
          <w:rFonts w:hint="eastAsia"/>
          <w:kern w:val="0"/>
        </w:rPr>
        <w:t>日起可以通过本基金的销售机构办理本基金份额跨系统转托管业务。跨系统转托管的具体业务按照中国证券登记结算有限责任公司的相关规定办理。</w:t>
      </w:r>
    </w:p>
    <w:p w:rsidR="00F131FE" w:rsidRPr="00293C6B" w:rsidRDefault="00F131FE" w:rsidP="00F131FE">
      <w:pPr>
        <w:ind w:firstLine="420"/>
        <w:rPr>
          <w:kern w:val="0"/>
        </w:rPr>
      </w:pPr>
      <w:r w:rsidRPr="00293C6B">
        <w:rPr>
          <w:rFonts w:hint="eastAsia"/>
          <w:kern w:val="0"/>
        </w:rPr>
        <w:t>本基金系统内转托管业务的办理规则以基金合同、招募说明书和销售机构的相关规定为准。</w:t>
      </w:r>
    </w:p>
    <w:p w:rsidR="00BA4DB0" w:rsidRDefault="00F131FE" w:rsidP="00800111">
      <w:pPr>
        <w:pStyle w:val="5"/>
      </w:pPr>
      <w:r>
        <w:rPr>
          <w:rFonts w:hint="eastAsia"/>
        </w:rPr>
        <w:t>8</w:t>
      </w:r>
      <w:r w:rsidR="00BA4DB0">
        <w:rPr>
          <w:rFonts w:hint="eastAsia"/>
        </w:rPr>
        <w:t>、基金销售机构</w:t>
      </w:r>
    </w:p>
    <w:p w:rsidR="00BA4DB0" w:rsidRPr="00BA4DB0" w:rsidRDefault="00F131FE" w:rsidP="00800111">
      <w:pPr>
        <w:pStyle w:val="5"/>
      </w:pPr>
      <w:r>
        <w:rPr>
          <w:rFonts w:hint="eastAsia"/>
        </w:rPr>
        <w:t>8</w:t>
      </w:r>
      <w:r w:rsidR="00BA4DB0" w:rsidRPr="00BA4DB0">
        <w:rPr>
          <w:rFonts w:hint="eastAsia"/>
        </w:rPr>
        <w:t>.1</w:t>
      </w:r>
      <w:r w:rsidR="00BA4DB0" w:rsidRPr="00BA4DB0">
        <w:rPr>
          <w:rFonts w:hint="eastAsia"/>
        </w:rPr>
        <w:t>直销机构</w:t>
      </w:r>
    </w:p>
    <w:p w:rsidR="00BA4DB0" w:rsidRPr="00BA4DB0" w:rsidRDefault="00BA4DB0" w:rsidP="00BA4DB0">
      <w:pPr>
        <w:ind w:firstLine="420"/>
        <w:rPr>
          <w:szCs w:val="21"/>
        </w:rPr>
      </w:pPr>
      <w:bookmarkStart w:id="3" w:name="t_2_7_2833_a1_fm1"/>
      <w:bookmarkEnd w:id="3"/>
      <w:r w:rsidRPr="00BA4DB0">
        <w:rPr>
          <w:rFonts w:hint="eastAsia"/>
          <w:szCs w:val="21"/>
        </w:rPr>
        <w:t>本基金直销机构为万家基金管理有限公司以及本公司的网上交易平台。</w:t>
      </w:r>
    </w:p>
    <w:p w:rsidR="00BA4DB0" w:rsidRPr="00BA4DB0" w:rsidRDefault="00BA4DB0" w:rsidP="00BA4DB0">
      <w:pPr>
        <w:ind w:firstLine="420"/>
        <w:rPr>
          <w:szCs w:val="21"/>
        </w:rPr>
      </w:pPr>
      <w:r w:rsidRPr="00BA4DB0">
        <w:rPr>
          <w:rFonts w:hint="eastAsia"/>
          <w:szCs w:val="21"/>
        </w:rPr>
        <w:t>住所、办公地址：</w:t>
      </w:r>
      <w:r w:rsidRPr="00BA4DB0">
        <w:rPr>
          <w:bCs/>
          <w:szCs w:val="21"/>
        </w:rPr>
        <w:t>上海市浦东新区浦电路</w:t>
      </w:r>
      <w:r w:rsidRPr="00BA4DB0">
        <w:rPr>
          <w:bCs/>
          <w:szCs w:val="21"/>
        </w:rPr>
        <w:t>360</w:t>
      </w:r>
      <w:r w:rsidRPr="00BA4DB0">
        <w:rPr>
          <w:bCs/>
          <w:szCs w:val="21"/>
        </w:rPr>
        <w:t>号</w:t>
      </w:r>
      <w:r w:rsidRPr="00BA4DB0">
        <w:rPr>
          <w:bCs/>
          <w:szCs w:val="21"/>
        </w:rPr>
        <w:t>8</w:t>
      </w:r>
      <w:r w:rsidRPr="00BA4DB0">
        <w:rPr>
          <w:bCs/>
          <w:szCs w:val="21"/>
        </w:rPr>
        <w:t>层（名义楼层</w:t>
      </w:r>
      <w:r w:rsidRPr="00BA4DB0">
        <w:rPr>
          <w:bCs/>
          <w:szCs w:val="21"/>
        </w:rPr>
        <w:t>9</w:t>
      </w:r>
      <w:r w:rsidRPr="00BA4DB0">
        <w:rPr>
          <w:bCs/>
          <w:szCs w:val="21"/>
        </w:rPr>
        <w:t>层）</w:t>
      </w:r>
    </w:p>
    <w:p w:rsidR="00BA4DB0" w:rsidRPr="00BA4DB0" w:rsidRDefault="00BA4DB0" w:rsidP="00BA4DB0">
      <w:pPr>
        <w:ind w:firstLine="420"/>
        <w:rPr>
          <w:szCs w:val="21"/>
        </w:rPr>
      </w:pPr>
      <w:r w:rsidRPr="00BA4DB0">
        <w:rPr>
          <w:rFonts w:hint="eastAsia"/>
          <w:szCs w:val="21"/>
        </w:rPr>
        <w:t>法定代表人：毕玉国</w:t>
      </w:r>
    </w:p>
    <w:p w:rsidR="00BA4DB0" w:rsidRPr="00BA4DB0" w:rsidRDefault="00BA4DB0" w:rsidP="00BA4DB0">
      <w:pPr>
        <w:ind w:firstLine="420"/>
        <w:rPr>
          <w:szCs w:val="21"/>
        </w:rPr>
      </w:pPr>
      <w:r w:rsidRPr="00BA4DB0">
        <w:rPr>
          <w:rFonts w:hint="eastAsia"/>
          <w:szCs w:val="21"/>
        </w:rPr>
        <w:t>联系人：刘怡君</w:t>
      </w:r>
    </w:p>
    <w:p w:rsidR="00BA4DB0" w:rsidRPr="00BA4DB0" w:rsidRDefault="00BA4DB0" w:rsidP="00BA4DB0">
      <w:pPr>
        <w:ind w:firstLine="420"/>
        <w:rPr>
          <w:szCs w:val="21"/>
        </w:rPr>
      </w:pPr>
      <w:r w:rsidRPr="00BA4DB0">
        <w:rPr>
          <w:rFonts w:hint="eastAsia"/>
          <w:szCs w:val="21"/>
        </w:rPr>
        <w:t>电话：（</w:t>
      </w:r>
      <w:r w:rsidRPr="00BA4DB0">
        <w:rPr>
          <w:rFonts w:hint="eastAsia"/>
          <w:szCs w:val="21"/>
        </w:rPr>
        <w:t>021</w:t>
      </w:r>
      <w:r w:rsidRPr="00BA4DB0">
        <w:rPr>
          <w:rFonts w:hint="eastAsia"/>
          <w:szCs w:val="21"/>
        </w:rPr>
        <w:t>）</w:t>
      </w:r>
      <w:r w:rsidRPr="00BA4DB0">
        <w:rPr>
          <w:rFonts w:hint="eastAsia"/>
          <w:szCs w:val="21"/>
        </w:rPr>
        <w:t>38619982</w:t>
      </w:r>
    </w:p>
    <w:p w:rsidR="00BA4DB0" w:rsidRPr="00BA4DB0" w:rsidRDefault="00BA4DB0" w:rsidP="00BA4DB0">
      <w:pPr>
        <w:ind w:firstLine="420"/>
        <w:rPr>
          <w:szCs w:val="21"/>
        </w:rPr>
      </w:pPr>
      <w:r w:rsidRPr="00BA4DB0">
        <w:rPr>
          <w:rFonts w:hint="eastAsia"/>
          <w:szCs w:val="21"/>
        </w:rPr>
        <w:t>传真：（</w:t>
      </w:r>
      <w:r w:rsidRPr="00BA4DB0">
        <w:rPr>
          <w:rFonts w:hint="eastAsia"/>
          <w:szCs w:val="21"/>
        </w:rPr>
        <w:t>021</w:t>
      </w:r>
      <w:r w:rsidRPr="00BA4DB0">
        <w:rPr>
          <w:rFonts w:hint="eastAsia"/>
          <w:szCs w:val="21"/>
        </w:rPr>
        <w:t>）</w:t>
      </w:r>
      <w:r w:rsidRPr="00BA4DB0">
        <w:rPr>
          <w:rFonts w:hint="eastAsia"/>
          <w:szCs w:val="21"/>
        </w:rPr>
        <w:t>38619998</w:t>
      </w:r>
    </w:p>
    <w:p w:rsidR="00BA4DB0" w:rsidRPr="00BA4DB0" w:rsidRDefault="00BA4DB0" w:rsidP="00BA4DB0">
      <w:pPr>
        <w:ind w:firstLine="420"/>
        <w:rPr>
          <w:szCs w:val="21"/>
        </w:rPr>
      </w:pPr>
      <w:r w:rsidRPr="00BA4DB0">
        <w:rPr>
          <w:rFonts w:hint="eastAsia"/>
          <w:szCs w:val="21"/>
        </w:rPr>
        <w:t>客户服务热线：</w:t>
      </w:r>
      <w:r w:rsidRPr="00BA4DB0">
        <w:rPr>
          <w:rFonts w:hint="eastAsia"/>
          <w:szCs w:val="21"/>
        </w:rPr>
        <w:t>400-888-0800</w:t>
      </w:r>
      <w:r w:rsidRPr="00BA4DB0">
        <w:rPr>
          <w:rFonts w:hint="eastAsia"/>
          <w:szCs w:val="21"/>
        </w:rPr>
        <w:t>；</w:t>
      </w:r>
      <w:r w:rsidRPr="00BA4DB0">
        <w:rPr>
          <w:rFonts w:hint="eastAsia"/>
          <w:szCs w:val="21"/>
        </w:rPr>
        <w:t>95538</w:t>
      </w:r>
      <w:r w:rsidRPr="00BA4DB0">
        <w:rPr>
          <w:rFonts w:hint="eastAsia"/>
          <w:szCs w:val="21"/>
        </w:rPr>
        <w:t>转</w:t>
      </w:r>
      <w:r w:rsidRPr="00BA4DB0">
        <w:rPr>
          <w:rFonts w:hint="eastAsia"/>
          <w:szCs w:val="21"/>
        </w:rPr>
        <w:t>6</w:t>
      </w:r>
    </w:p>
    <w:p w:rsidR="00BA4DB0" w:rsidRPr="00BA4DB0" w:rsidRDefault="00BA4DB0" w:rsidP="00BA4DB0">
      <w:pPr>
        <w:ind w:firstLine="420"/>
        <w:rPr>
          <w:szCs w:val="21"/>
        </w:rPr>
      </w:pPr>
      <w:r w:rsidRPr="00BA4DB0">
        <w:rPr>
          <w:rFonts w:hint="eastAsia"/>
          <w:szCs w:val="21"/>
        </w:rPr>
        <w:t>投资人可以通过本公司网上交易系统办理本基金的开户、认购、申购及赎回等业务，具体交易细则请参阅本公司网站公告。网上交易网址：</w:t>
      </w:r>
      <w:hyperlink r:id="rId8" w:history="1">
        <w:r w:rsidRPr="00BA4DB0">
          <w:rPr>
            <w:rStyle w:val="ad"/>
            <w:rFonts w:hint="eastAsia"/>
            <w:sz w:val="21"/>
            <w:szCs w:val="21"/>
          </w:rPr>
          <w:t>https://trade.wjasset.com/</w:t>
        </w:r>
      </w:hyperlink>
    </w:p>
    <w:p w:rsidR="00BA4DB0" w:rsidRPr="00BA4DB0" w:rsidRDefault="00F131FE" w:rsidP="00800111">
      <w:pPr>
        <w:pStyle w:val="5"/>
      </w:pPr>
      <w:r>
        <w:rPr>
          <w:rFonts w:hint="eastAsia"/>
        </w:rPr>
        <w:lastRenderedPageBreak/>
        <w:t>8</w:t>
      </w:r>
      <w:r w:rsidR="00BA4DB0">
        <w:rPr>
          <w:rFonts w:hint="eastAsia"/>
        </w:rPr>
        <w:t>.2</w:t>
      </w:r>
      <w:r w:rsidR="00BA4DB0" w:rsidRPr="00BA4DB0">
        <w:rPr>
          <w:rFonts w:hint="eastAsia"/>
        </w:rPr>
        <w:t>场外代销机构</w:t>
      </w:r>
    </w:p>
    <w:p w:rsidR="00BA4DB0" w:rsidRDefault="00BA4DB0" w:rsidP="00BA4DB0">
      <w:pPr>
        <w:ind w:firstLine="420"/>
        <w:rPr>
          <w:rFonts w:hint="eastAsia"/>
        </w:rPr>
      </w:pPr>
      <w:r w:rsidRPr="00BA4DB0">
        <w:rPr>
          <w:rFonts w:hint="eastAsia"/>
          <w:szCs w:val="21"/>
        </w:rPr>
        <w:t>中国邮政储蓄银行股份有限公司、中国工商银行股份有限公司、中国建设银行股份有限公司、</w:t>
      </w:r>
      <w:r w:rsidRPr="00BA4DB0">
        <w:rPr>
          <w:szCs w:val="21"/>
        </w:rPr>
        <w:t>中国农业银行股份有限公司</w:t>
      </w:r>
      <w:r w:rsidRPr="00BA4DB0">
        <w:rPr>
          <w:rFonts w:hint="eastAsia"/>
          <w:szCs w:val="21"/>
        </w:rPr>
        <w:t>、交通银行股份有限公司、</w:t>
      </w:r>
      <w:r w:rsidRPr="00BA4DB0">
        <w:rPr>
          <w:szCs w:val="21"/>
        </w:rPr>
        <w:t>招商银行股份有限公司</w:t>
      </w:r>
      <w:r w:rsidRPr="00BA4DB0">
        <w:rPr>
          <w:rFonts w:hint="eastAsia"/>
          <w:szCs w:val="21"/>
        </w:rPr>
        <w:t>、</w:t>
      </w:r>
      <w:r w:rsidRPr="00BA4DB0">
        <w:rPr>
          <w:szCs w:val="21"/>
        </w:rPr>
        <w:t>华夏银行股份有限公司</w:t>
      </w:r>
      <w:r w:rsidRPr="00BA4DB0">
        <w:rPr>
          <w:rFonts w:hint="eastAsia"/>
          <w:szCs w:val="21"/>
        </w:rPr>
        <w:t>、中国银行股份有限公司、齐鲁证券有限公司、中航证券有限公司、中国银河证券股份有限公司、</w:t>
      </w:r>
      <w:r w:rsidRPr="00BA4DB0">
        <w:rPr>
          <w:szCs w:val="21"/>
        </w:rPr>
        <w:t>中国民族证券有限责任公</w:t>
      </w:r>
      <w:r w:rsidRPr="00BA4DB0">
        <w:rPr>
          <w:rFonts w:hint="eastAsia"/>
          <w:szCs w:val="21"/>
        </w:rPr>
        <w:t>司</w:t>
      </w:r>
      <w:r w:rsidRPr="00BA4DB0">
        <w:rPr>
          <w:szCs w:val="21"/>
        </w:rPr>
        <w:t>、民生证券有限责任公司</w:t>
      </w:r>
      <w:r w:rsidRPr="00BA4DB0">
        <w:rPr>
          <w:rFonts w:hint="eastAsia"/>
          <w:szCs w:val="21"/>
        </w:rPr>
        <w:t>、</w:t>
      </w:r>
      <w:r w:rsidRPr="00BA4DB0">
        <w:rPr>
          <w:szCs w:val="21"/>
        </w:rPr>
        <w:t>东吴证券股份有限公</w:t>
      </w:r>
      <w:r w:rsidRPr="00BA4DB0">
        <w:rPr>
          <w:rFonts w:hint="eastAsia"/>
          <w:szCs w:val="21"/>
        </w:rPr>
        <w:t>司、</w:t>
      </w:r>
      <w:r w:rsidRPr="00BA4DB0">
        <w:rPr>
          <w:szCs w:val="21"/>
        </w:rPr>
        <w:t>上海证券有限责任公司</w:t>
      </w:r>
      <w:r w:rsidRPr="00BA4DB0">
        <w:rPr>
          <w:rFonts w:hint="eastAsia"/>
          <w:szCs w:val="21"/>
        </w:rPr>
        <w:t>、</w:t>
      </w:r>
      <w:r w:rsidRPr="00BA4DB0">
        <w:rPr>
          <w:szCs w:val="21"/>
        </w:rPr>
        <w:t>华龙证券有限责任公司</w:t>
      </w:r>
      <w:r w:rsidRPr="00BA4DB0">
        <w:rPr>
          <w:rFonts w:hint="eastAsia"/>
          <w:szCs w:val="21"/>
        </w:rPr>
        <w:t>、</w:t>
      </w:r>
      <w:r w:rsidRPr="00BA4DB0">
        <w:rPr>
          <w:szCs w:val="21"/>
        </w:rPr>
        <w:t>宏源证券股份有限公司</w:t>
      </w:r>
      <w:r w:rsidRPr="00BA4DB0">
        <w:rPr>
          <w:rFonts w:hint="eastAsia"/>
          <w:szCs w:val="21"/>
        </w:rPr>
        <w:t>、</w:t>
      </w:r>
      <w:r w:rsidRPr="00BA4DB0">
        <w:rPr>
          <w:szCs w:val="21"/>
        </w:rPr>
        <w:t>申银万国证券股份有限公司</w:t>
      </w:r>
      <w:r w:rsidRPr="00BA4DB0">
        <w:rPr>
          <w:rFonts w:hint="eastAsia"/>
          <w:szCs w:val="21"/>
        </w:rPr>
        <w:t>、</w:t>
      </w:r>
      <w:r w:rsidRPr="00BA4DB0">
        <w:rPr>
          <w:szCs w:val="21"/>
        </w:rPr>
        <w:t>中信证券（浙江）有限责任公司（原中信金通证券）</w:t>
      </w:r>
      <w:r w:rsidRPr="00BA4DB0">
        <w:rPr>
          <w:rFonts w:hint="eastAsia"/>
          <w:szCs w:val="21"/>
        </w:rPr>
        <w:t>、</w:t>
      </w:r>
      <w:r w:rsidRPr="00BA4DB0">
        <w:rPr>
          <w:szCs w:val="21"/>
        </w:rPr>
        <w:t>日信证券有限责任公司</w:t>
      </w:r>
      <w:r w:rsidRPr="00BA4DB0">
        <w:rPr>
          <w:rFonts w:hint="eastAsia"/>
          <w:szCs w:val="21"/>
        </w:rPr>
        <w:t>、</w:t>
      </w:r>
      <w:r w:rsidRPr="00BA4DB0">
        <w:rPr>
          <w:szCs w:val="21"/>
        </w:rPr>
        <w:t>国泰君安证券股份有限公司</w:t>
      </w:r>
      <w:r w:rsidRPr="00BA4DB0">
        <w:rPr>
          <w:rFonts w:hint="eastAsia"/>
          <w:szCs w:val="21"/>
        </w:rPr>
        <w:t>、</w:t>
      </w:r>
      <w:r w:rsidRPr="00BA4DB0">
        <w:rPr>
          <w:szCs w:val="21"/>
        </w:rPr>
        <w:t>兴业证券股份有限公司</w:t>
      </w:r>
      <w:r w:rsidRPr="00BA4DB0">
        <w:rPr>
          <w:rFonts w:hint="eastAsia"/>
          <w:szCs w:val="21"/>
        </w:rPr>
        <w:t>、</w:t>
      </w:r>
      <w:r w:rsidRPr="00BA4DB0">
        <w:rPr>
          <w:szCs w:val="21"/>
        </w:rPr>
        <w:t>国信证券股份有限公司</w:t>
      </w:r>
      <w:r w:rsidRPr="00BA4DB0">
        <w:rPr>
          <w:rFonts w:hint="eastAsia"/>
          <w:szCs w:val="21"/>
        </w:rPr>
        <w:t>、</w:t>
      </w:r>
      <w:r w:rsidRPr="00BA4DB0">
        <w:rPr>
          <w:szCs w:val="21"/>
        </w:rPr>
        <w:t>招商证券股份有限公司</w:t>
      </w:r>
      <w:r w:rsidRPr="00BA4DB0">
        <w:rPr>
          <w:rFonts w:hint="eastAsia"/>
          <w:szCs w:val="21"/>
        </w:rPr>
        <w:t>、中银国际</w:t>
      </w:r>
      <w:r w:rsidRPr="00BA4DB0">
        <w:rPr>
          <w:szCs w:val="21"/>
        </w:rPr>
        <w:t>证券</w:t>
      </w:r>
      <w:r w:rsidRPr="00BA4DB0">
        <w:rPr>
          <w:rFonts w:hint="eastAsia"/>
          <w:szCs w:val="21"/>
        </w:rPr>
        <w:t>有限责任公司、杭州数米基金销售有限公司、诺亚正行（上海）基金销售投资顾问有限公司、上海长量基金销售投资顾问有限公司、深圳众</w:t>
      </w:r>
      <w:r w:rsidRPr="00EE77B5">
        <w:rPr>
          <w:rFonts w:hint="eastAsia"/>
        </w:rPr>
        <w:t>禄基金销售有限公司、北京展恒基金销售有限公司、上海天天基金销售有限公司、上海好买基金销售有限公司、</w:t>
      </w:r>
      <w:r w:rsidRPr="00EE77B5">
        <w:t>华鑫证券有限责任公司</w:t>
      </w:r>
      <w:r w:rsidRPr="00EE77B5">
        <w:rPr>
          <w:rFonts w:hint="eastAsia"/>
        </w:rPr>
        <w:t>、</w:t>
      </w:r>
      <w:r w:rsidRPr="00EE77B5">
        <w:t>和讯信息技术有限公司</w:t>
      </w:r>
      <w:r w:rsidRPr="00EE77B5">
        <w:rPr>
          <w:rFonts w:hint="eastAsia"/>
        </w:rPr>
        <w:t>。</w:t>
      </w:r>
    </w:p>
    <w:p w:rsidR="009F4060" w:rsidRDefault="009F4060" w:rsidP="009F4060">
      <w:pPr>
        <w:pStyle w:val="5"/>
        <w:rPr>
          <w:rFonts w:hint="eastAsia"/>
        </w:rPr>
      </w:pPr>
      <w:r>
        <w:rPr>
          <w:rFonts w:hint="eastAsia"/>
        </w:rPr>
        <w:t>8.3</w:t>
      </w:r>
      <w:r>
        <w:rPr>
          <w:rFonts w:hint="eastAsia"/>
        </w:rPr>
        <w:t>场内代销机构</w:t>
      </w:r>
    </w:p>
    <w:p w:rsidR="009F4060" w:rsidRPr="009F4060" w:rsidRDefault="009F4060" w:rsidP="009F4060">
      <w:pPr>
        <w:ind w:firstLine="420"/>
      </w:pPr>
      <w:r w:rsidRPr="009F4060">
        <w:rPr>
          <w:rFonts w:hint="eastAsia"/>
        </w:rPr>
        <w:t>本基金的场内销售机构包括</w:t>
      </w:r>
      <w:r>
        <w:rPr>
          <w:rFonts w:hint="eastAsia"/>
        </w:rPr>
        <w:t>爱建证券、安信证券、渤海证券、财达证券、财富证券、财富里昂、财通证券、长城证券、长江证券、川财证券、大通证券、大同证券、德邦证券、第一创业、东北证券、东方证券、东海证券、东莞证券、东吴证券、东兴证券、高华证券、方正证券、光大证券、广发证券、广州证券、国都证券、国海证券、国金证券、国开证券、国联证券、国盛证券、国泰君安、国信证券、国元证券、海通证券、恒泰长财、恒泰证券、红塔证券、宏源证券、宏信证券、华安证券、华宝证券、华创证券、华福证券、华林证券、华龙证券、华融证券、华泰联合、华泰证券、华西证券、华鑫证券、江海证券、金元证券、开源证券、联讯证券、民生证券、民族证券、南京证券、平安证券、齐鲁证券、日信证券、瑞银证券、山西证券、上海证券、申银万国、世纪证券、首创证券、天风证券、天源证券、万和证券、万联证券、西部证券、西藏同信、西南证券、厦门证券、湘财证券、新时代证券、信达证券、兴业证券、银河证券、银泰证券、英大证券、招商证券、浙商证券、中航证券、中金公司、中山证券、中投证券、中天证券、中信建投、中信浙江、中信万通、中信证券、中银证券、中邮证券、中原证券（排名不分先后）</w:t>
      </w:r>
      <w:r w:rsidR="00D440FF">
        <w:rPr>
          <w:rFonts w:hint="eastAsia"/>
        </w:rPr>
        <w:t>。</w:t>
      </w:r>
    </w:p>
    <w:p w:rsidR="000A0AD2" w:rsidRPr="000A0AD2" w:rsidRDefault="00F131FE" w:rsidP="00800111">
      <w:pPr>
        <w:pStyle w:val="5"/>
        <w:rPr>
          <w:szCs w:val="21"/>
        </w:rPr>
      </w:pPr>
      <w:r>
        <w:rPr>
          <w:rFonts w:hint="eastAsia"/>
        </w:rPr>
        <w:t>9</w:t>
      </w:r>
      <w:r w:rsidR="000A0AD2" w:rsidRPr="000A0AD2">
        <w:rPr>
          <w:rFonts w:hint="eastAsia"/>
        </w:rPr>
        <w:t>、其他份额净值公告</w:t>
      </w:r>
      <w:r w:rsidR="000A0AD2" w:rsidRPr="000A0AD2">
        <w:rPr>
          <w:rFonts w:hint="eastAsia"/>
        </w:rPr>
        <w:t>/</w:t>
      </w:r>
      <w:r w:rsidR="000A0AD2" w:rsidRPr="000A0AD2">
        <w:rPr>
          <w:rFonts w:hint="eastAsia"/>
        </w:rPr>
        <w:t>基金收益公告的披露安排</w:t>
      </w:r>
    </w:p>
    <w:p w:rsidR="000A0AD2" w:rsidRPr="000A0AD2" w:rsidRDefault="000A0AD2" w:rsidP="000A0AD2">
      <w:pPr>
        <w:ind w:firstLine="420"/>
        <w:rPr>
          <w:kern w:val="0"/>
          <w:szCs w:val="21"/>
        </w:rPr>
      </w:pPr>
      <w:r w:rsidRPr="000A0AD2">
        <w:rPr>
          <w:rFonts w:hint="eastAsia"/>
          <w:kern w:val="0"/>
          <w:szCs w:val="21"/>
        </w:rPr>
        <w:t>2014</w:t>
      </w:r>
      <w:r w:rsidRPr="000A0AD2">
        <w:rPr>
          <w:rFonts w:hint="eastAsia"/>
          <w:kern w:val="0"/>
          <w:szCs w:val="21"/>
        </w:rPr>
        <w:t>年</w:t>
      </w:r>
      <w:r w:rsidRPr="000A0AD2">
        <w:rPr>
          <w:rFonts w:hint="eastAsia"/>
          <w:kern w:val="0"/>
          <w:szCs w:val="21"/>
        </w:rPr>
        <w:t>6</w:t>
      </w:r>
      <w:r w:rsidRPr="000A0AD2">
        <w:rPr>
          <w:rFonts w:hint="eastAsia"/>
          <w:kern w:val="0"/>
          <w:szCs w:val="21"/>
        </w:rPr>
        <w:t>月</w:t>
      </w:r>
      <w:r w:rsidR="00BA4DB0">
        <w:rPr>
          <w:rFonts w:hint="eastAsia"/>
          <w:kern w:val="0"/>
          <w:szCs w:val="21"/>
        </w:rPr>
        <w:t>6</w:t>
      </w:r>
      <w:r w:rsidRPr="000A0AD2">
        <w:rPr>
          <w:rFonts w:hint="eastAsia"/>
          <w:kern w:val="0"/>
          <w:szCs w:val="21"/>
        </w:rPr>
        <w:t>日起，基金管理人将通过中国证监会指定的信息披露媒体、各销售机构及指定网点营业场所、基金管理人网站等媒介公布上一个基金开放日的基金份额净值。敬请投资者留意</w:t>
      </w:r>
      <w:r w:rsidR="00BA4DB0">
        <w:rPr>
          <w:rFonts w:hint="eastAsia"/>
          <w:kern w:val="0"/>
          <w:szCs w:val="21"/>
        </w:rPr>
        <w:t>。</w:t>
      </w:r>
    </w:p>
    <w:p w:rsidR="000A0AD2" w:rsidRPr="000A0AD2" w:rsidRDefault="00F131FE" w:rsidP="00800111">
      <w:pPr>
        <w:pStyle w:val="5"/>
        <w:rPr>
          <w:szCs w:val="21"/>
        </w:rPr>
      </w:pPr>
      <w:r>
        <w:rPr>
          <w:rFonts w:hint="eastAsia"/>
        </w:rPr>
        <w:lastRenderedPageBreak/>
        <w:t>10</w:t>
      </w:r>
      <w:r w:rsidR="00BA4DB0">
        <w:rPr>
          <w:rFonts w:hint="eastAsia"/>
        </w:rPr>
        <w:t>、</w:t>
      </w:r>
      <w:r w:rsidR="000A0AD2" w:rsidRPr="000A0AD2">
        <w:rPr>
          <w:rFonts w:hint="eastAsia"/>
        </w:rPr>
        <w:t>其他需要提示的事项</w:t>
      </w:r>
    </w:p>
    <w:p w:rsidR="000A0AD2" w:rsidRPr="000A0AD2" w:rsidRDefault="000A0AD2" w:rsidP="000A0AD2">
      <w:pPr>
        <w:ind w:firstLine="420"/>
        <w:rPr>
          <w:kern w:val="0"/>
          <w:szCs w:val="21"/>
        </w:rPr>
      </w:pPr>
      <w:r w:rsidRPr="000A0AD2">
        <w:rPr>
          <w:rFonts w:hint="eastAsia"/>
          <w:kern w:val="0"/>
          <w:szCs w:val="21"/>
        </w:rPr>
        <w:t>（</w:t>
      </w:r>
      <w:r w:rsidR="00D01442">
        <w:rPr>
          <w:rFonts w:hint="eastAsia"/>
          <w:kern w:val="0"/>
          <w:szCs w:val="21"/>
        </w:rPr>
        <w:t>1</w:t>
      </w:r>
      <w:r w:rsidRPr="000A0AD2">
        <w:rPr>
          <w:rFonts w:hint="eastAsia"/>
          <w:kern w:val="0"/>
          <w:szCs w:val="21"/>
        </w:rPr>
        <w:t>）基金管理人可根据市场情况，合理调整对申购金额和赎回份额的数量限制，基金管理人进行前述调整须按照《信息披露管理办法》有关规定至少在一种中国证监会指定媒体上刊登公告。</w:t>
      </w:r>
    </w:p>
    <w:p w:rsidR="000A0AD2" w:rsidRPr="000A0AD2" w:rsidRDefault="000A0AD2" w:rsidP="000A0AD2">
      <w:pPr>
        <w:ind w:firstLine="420"/>
        <w:rPr>
          <w:kern w:val="0"/>
          <w:szCs w:val="21"/>
        </w:rPr>
      </w:pPr>
      <w:r w:rsidRPr="000A0AD2">
        <w:rPr>
          <w:rFonts w:hint="eastAsia"/>
          <w:kern w:val="0"/>
          <w:szCs w:val="21"/>
        </w:rPr>
        <w:t>（</w:t>
      </w:r>
      <w:r w:rsidR="00D01442">
        <w:rPr>
          <w:rFonts w:hint="eastAsia"/>
          <w:kern w:val="0"/>
          <w:szCs w:val="21"/>
        </w:rPr>
        <w:t>2</w:t>
      </w:r>
      <w:r w:rsidRPr="000A0AD2">
        <w:rPr>
          <w:rFonts w:hint="eastAsia"/>
          <w:kern w:val="0"/>
          <w:szCs w:val="21"/>
        </w:rPr>
        <w:t>）基金管理人可以根据《基金合同》的相关约定调整费率或收费方式，基金管理人应于新的费率或收费方式实施前依照《信息披露管理办法》的有关规定，在至少一家指定报刊及基金管理人网站公告。</w:t>
      </w:r>
    </w:p>
    <w:p w:rsidR="000A0AD2" w:rsidRPr="000A0AD2" w:rsidRDefault="000A0AD2" w:rsidP="000A0AD2">
      <w:pPr>
        <w:ind w:firstLine="420"/>
        <w:rPr>
          <w:kern w:val="0"/>
          <w:szCs w:val="21"/>
        </w:rPr>
      </w:pPr>
      <w:r w:rsidRPr="000A0AD2">
        <w:rPr>
          <w:rFonts w:hint="eastAsia"/>
          <w:kern w:val="0"/>
          <w:szCs w:val="21"/>
        </w:rPr>
        <w:t>（</w:t>
      </w:r>
      <w:r w:rsidR="00D01442">
        <w:rPr>
          <w:rFonts w:hint="eastAsia"/>
          <w:kern w:val="0"/>
          <w:szCs w:val="21"/>
        </w:rPr>
        <w:t>3</w:t>
      </w:r>
      <w:r w:rsidRPr="000A0AD2">
        <w:rPr>
          <w:rFonts w:hint="eastAsia"/>
          <w:kern w:val="0"/>
          <w:szCs w:val="21"/>
        </w:rPr>
        <w:t>）本公告仅对本基金开放申购、赎回有关事项予以说明。投资者欲了解本基金的详细情况，请详细阅读刊登在</w:t>
      </w:r>
      <w:r w:rsidRPr="000A0AD2">
        <w:rPr>
          <w:rFonts w:hint="eastAsia"/>
          <w:kern w:val="0"/>
          <w:szCs w:val="21"/>
        </w:rPr>
        <w:t>201</w:t>
      </w:r>
      <w:r w:rsidR="00790EAA">
        <w:rPr>
          <w:rFonts w:hint="eastAsia"/>
          <w:kern w:val="0"/>
          <w:szCs w:val="21"/>
        </w:rPr>
        <w:t>4</w:t>
      </w:r>
      <w:r w:rsidRPr="000A0AD2">
        <w:rPr>
          <w:rFonts w:hint="eastAsia"/>
          <w:kern w:val="0"/>
          <w:szCs w:val="21"/>
        </w:rPr>
        <w:t>年</w:t>
      </w:r>
      <w:r w:rsidR="00790EAA">
        <w:rPr>
          <w:rFonts w:hint="eastAsia"/>
          <w:kern w:val="0"/>
          <w:szCs w:val="21"/>
        </w:rPr>
        <w:t>1</w:t>
      </w:r>
      <w:r w:rsidRPr="000A0AD2">
        <w:rPr>
          <w:rFonts w:hint="eastAsia"/>
          <w:kern w:val="0"/>
          <w:szCs w:val="21"/>
        </w:rPr>
        <w:t>月</w:t>
      </w:r>
      <w:r w:rsidR="00790EAA">
        <w:rPr>
          <w:rFonts w:hint="eastAsia"/>
          <w:kern w:val="0"/>
          <w:szCs w:val="21"/>
        </w:rPr>
        <w:t>16</w:t>
      </w:r>
      <w:r w:rsidRPr="000A0AD2">
        <w:rPr>
          <w:rFonts w:hint="eastAsia"/>
          <w:kern w:val="0"/>
          <w:szCs w:val="21"/>
        </w:rPr>
        <w:t>日《中国证券报》、《上海证券报》和《证券时报》上的《</w:t>
      </w:r>
      <w:r w:rsidR="007D24B0">
        <w:rPr>
          <w:rFonts w:hint="eastAsia"/>
          <w:kern w:val="0"/>
          <w:szCs w:val="21"/>
        </w:rPr>
        <w:t>万家添利</w:t>
      </w:r>
      <w:r w:rsidRPr="000A0AD2">
        <w:rPr>
          <w:rFonts w:hint="eastAsia"/>
          <w:kern w:val="0"/>
          <w:szCs w:val="21"/>
        </w:rPr>
        <w:t>分级债券型证券投资基金招募说明书》。投资者亦可通过本公司网站或相关代理销售机构查阅《</w:t>
      </w:r>
      <w:r w:rsidR="007D24B0">
        <w:rPr>
          <w:rFonts w:hint="eastAsia"/>
          <w:kern w:val="0"/>
          <w:szCs w:val="21"/>
        </w:rPr>
        <w:t>万家添利</w:t>
      </w:r>
      <w:r w:rsidRPr="000A0AD2">
        <w:rPr>
          <w:rFonts w:hint="eastAsia"/>
          <w:kern w:val="0"/>
          <w:szCs w:val="21"/>
        </w:rPr>
        <w:t>分级债券型证券投资基金基金合同》和《</w:t>
      </w:r>
      <w:r w:rsidR="007D24B0">
        <w:rPr>
          <w:rFonts w:hint="eastAsia"/>
          <w:kern w:val="0"/>
          <w:szCs w:val="21"/>
        </w:rPr>
        <w:t>万家添利</w:t>
      </w:r>
      <w:r w:rsidRPr="000A0AD2">
        <w:rPr>
          <w:rFonts w:hint="eastAsia"/>
          <w:kern w:val="0"/>
          <w:szCs w:val="21"/>
        </w:rPr>
        <w:t>分级债券型证券投资基金招募说明书》等相关资料。</w:t>
      </w:r>
    </w:p>
    <w:p w:rsidR="000A0AD2" w:rsidRPr="000A0AD2" w:rsidRDefault="000A0AD2" w:rsidP="000A0AD2">
      <w:pPr>
        <w:ind w:firstLine="420"/>
        <w:rPr>
          <w:kern w:val="0"/>
          <w:szCs w:val="21"/>
        </w:rPr>
      </w:pPr>
      <w:r w:rsidRPr="000A0AD2">
        <w:rPr>
          <w:rFonts w:hint="eastAsia"/>
          <w:kern w:val="0"/>
          <w:szCs w:val="21"/>
        </w:rPr>
        <w:t>（</w:t>
      </w:r>
      <w:r w:rsidR="00D01442">
        <w:rPr>
          <w:rFonts w:hint="eastAsia"/>
          <w:kern w:val="0"/>
          <w:szCs w:val="21"/>
        </w:rPr>
        <w:t>4</w:t>
      </w:r>
      <w:r w:rsidRPr="000A0AD2">
        <w:rPr>
          <w:rFonts w:hint="eastAsia"/>
          <w:kern w:val="0"/>
          <w:szCs w:val="21"/>
        </w:rPr>
        <w:t>）有关本基金开放申购、赎回的具体规定若有变化，本公司将另行公告。</w:t>
      </w:r>
    </w:p>
    <w:p w:rsidR="000A0AD2" w:rsidRPr="000A0AD2" w:rsidRDefault="000A0AD2" w:rsidP="000A0AD2">
      <w:pPr>
        <w:ind w:firstLine="420"/>
        <w:rPr>
          <w:kern w:val="0"/>
          <w:szCs w:val="21"/>
        </w:rPr>
      </w:pPr>
      <w:r w:rsidRPr="000A0AD2">
        <w:rPr>
          <w:rFonts w:hint="eastAsia"/>
          <w:kern w:val="0"/>
          <w:szCs w:val="21"/>
        </w:rPr>
        <w:t>（</w:t>
      </w:r>
      <w:r w:rsidR="00D01442">
        <w:rPr>
          <w:rFonts w:hint="eastAsia"/>
          <w:kern w:val="0"/>
          <w:szCs w:val="21"/>
        </w:rPr>
        <w:t>5</w:t>
      </w:r>
      <w:r w:rsidRPr="000A0AD2">
        <w:rPr>
          <w:rFonts w:hint="eastAsia"/>
          <w:kern w:val="0"/>
          <w:szCs w:val="21"/>
        </w:rPr>
        <w:t>）风险提示：基金管理人承诺以诚实信用、勤勉尽责的原则管理和运用基金资产，但不保证基金一定盈利，也不保证最低收益。投资者投资于本基金前应认真阅读本基金的招募说明书。</w:t>
      </w:r>
    </w:p>
    <w:p w:rsidR="000741F5" w:rsidRPr="00A23703" w:rsidRDefault="000A0AD2" w:rsidP="000741F5">
      <w:pPr>
        <w:ind w:firstLine="420"/>
        <w:rPr>
          <w:kern w:val="28"/>
        </w:rPr>
      </w:pPr>
      <w:r w:rsidRPr="000A0AD2">
        <w:rPr>
          <w:rFonts w:hint="eastAsia"/>
          <w:kern w:val="0"/>
          <w:szCs w:val="21"/>
        </w:rPr>
        <w:t> </w:t>
      </w:r>
      <w:r w:rsidR="000741F5">
        <w:rPr>
          <w:rFonts w:hint="eastAsia"/>
        </w:rPr>
        <w:t>（</w:t>
      </w:r>
      <w:r w:rsidR="00D01442">
        <w:rPr>
          <w:rFonts w:hint="eastAsia"/>
        </w:rPr>
        <w:t>6</w:t>
      </w:r>
      <w:r w:rsidR="000741F5">
        <w:rPr>
          <w:rFonts w:hint="eastAsia"/>
        </w:rPr>
        <w:t>）</w:t>
      </w:r>
      <w:r w:rsidR="000741F5" w:rsidRPr="00A23703">
        <w:rPr>
          <w:rFonts w:hint="eastAsia"/>
          <w:kern w:val="28"/>
        </w:rPr>
        <w:t>投资者欲了解详细情况，可登录本公司网站（</w:t>
      </w:r>
      <w:r w:rsidR="000741F5">
        <w:rPr>
          <w:kern w:val="28"/>
        </w:rPr>
        <w:t>www.wj</w:t>
      </w:r>
      <w:r w:rsidR="000741F5" w:rsidRPr="00A23703">
        <w:rPr>
          <w:kern w:val="28"/>
        </w:rPr>
        <w:t>asset.com</w:t>
      </w:r>
      <w:r w:rsidR="000741F5" w:rsidRPr="00A23703">
        <w:rPr>
          <w:rFonts w:hint="eastAsia"/>
          <w:kern w:val="28"/>
        </w:rPr>
        <w:t>）或者拨打本公司的客户服务电话：</w:t>
      </w:r>
      <w:r w:rsidR="000741F5" w:rsidRPr="00A23703">
        <w:rPr>
          <w:kern w:val="28"/>
        </w:rPr>
        <w:t>400-</w:t>
      </w:r>
      <w:r w:rsidR="000741F5">
        <w:rPr>
          <w:kern w:val="28"/>
        </w:rPr>
        <w:t>888-080</w:t>
      </w:r>
      <w:r w:rsidR="000741F5" w:rsidRPr="00A23703">
        <w:rPr>
          <w:kern w:val="28"/>
        </w:rPr>
        <w:t>0</w:t>
      </w:r>
      <w:r w:rsidR="000741F5" w:rsidRPr="00A23703">
        <w:rPr>
          <w:rFonts w:hint="eastAsia"/>
          <w:kern w:val="28"/>
        </w:rPr>
        <w:t>（免长途话费）咨询相关事宜。</w:t>
      </w:r>
    </w:p>
    <w:p w:rsidR="000741F5" w:rsidRPr="000741F5" w:rsidRDefault="000741F5" w:rsidP="000741F5">
      <w:pPr>
        <w:ind w:firstLine="420"/>
      </w:pPr>
    </w:p>
    <w:p w:rsidR="000A0AD2" w:rsidRPr="000A0AD2" w:rsidRDefault="000A0AD2" w:rsidP="000A0AD2">
      <w:pPr>
        <w:ind w:firstLine="420"/>
        <w:rPr>
          <w:kern w:val="0"/>
          <w:szCs w:val="21"/>
        </w:rPr>
      </w:pPr>
      <w:r w:rsidRPr="000A0AD2">
        <w:rPr>
          <w:rFonts w:hint="eastAsia"/>
          <w:kern w:val="0"/>
          <w:szCs w:val="21"/>
        </w:rPr>
        <w:t>特此公告。</w:t>
      </w:r>
    </w:p>
    <w:p w:rsidR="000A0AD2" w:rsidRPr="000A0AD2" w:rsidRDefault="000A0AD2" w:rsidP="000A0AD2">
      <w:pPr>
        <w:ind w:firstLine="420"/>
        <w:rPr>
          <w:kern w:val="0"/>
          <w:szCs w:val="21"/>
        </w:rPr>
      </w:pPr>
      <w:r w:rsidRPr="000A0AD2">
        <w:rPr>
          <w:rFonts w:hint="eastAsia"/>
          <w:kern w:val="0"/>
          <w:szCs w:val="21"/>
        </w:rPr>
        <w:t> </w:t>
      </w:r>
    </w:p>
    <w:p w:rsidR="000A0AD2" w:rsidRPr="000A0AD2" w:rsidRDefault="000741F5" w:rsidP="00DC2C83">
      <w:pPr>
        <w:ind w:firstLine="420"/>
        <w:jc w:val="right"/>
        <w:rPr>
          <w:kern w:val="0"/>
          <w:szCs w:val="21"/>
        </w:rPr>
      </w:pPr>
      <w:r>
        <w:rPr>
          <w:rFonts w:hint="eastAsia"/>
          <w:kern w:val="0"/>
          <w:szCs w:val="21"/>
        </w:rPr>
        <w:t>万家</w:t>
      </w:r>
      <w:r w:rsidR="000A0AD2" w:rsidRPr="000A0AD2">
        <w:rPr>
          <w:rFonts w:hint="eastAsia"/>
          <w:kern w:val="0"/>
          <w:szCs w:val="21"/>
        </w:rPr>
        <w:t>基金管理有限公司</w:t>
      </w:r>
    </w:p>
    <w:p w:rsidR="000A0AD2" w:rsidRPr="000A0AD2" w:rsidRDefault="000741F5" w:rsidP="00DC2C83">
      <w:pPr>
        <w:ind w:firstLine="420"/>
        <w:jc w:val="right"/>
        <w:rPr>
          <w:kern w:val="0"/>
          <w:szCs w:val="21"/>
        </w:rPr>
      </w:pPr>
      <w:r>
        <w:rPr>
          <w:rFonts w:hint="eastAsia"/>
          <w:kern w:val="0"/>
          <w:szCs w:val="21"/>
        </w:rPr>
        <w:t>2014</w:t>
      </w:r>
      <w:r>
        <w:rPr>
          <w:rFonts w:hint="eastAsia"/>
          <w:kern w:val="0"/>
          <w:szCs w:val="21"/>
        </w:rPr>
        <w:t>年</w:t>
      </w:r>
      <w:r>
        <w:rPr>
          <w:rFonts w:hint="eastAsia"/>
          <w:kern w:val="0"/>
          <w:szCs w:val="21"/>
        </w:rPr>
        <w:t>6</w:t>
      </w:r>
      <w:r w:rsidR="000A0AD2" w:rsidRPr="000A0AD2">
        <w:rPr>
          <w:rFonts w:hint="eastAsia"/>
          <w:kern w:val="0"/>
          <w:szCs w:val="21"/>
        </w:rPr>
        <w:t>月</w:t>
      </w:r>
      <w:r w:rsidR="002635FF">
        <w:rPr>
          <w:rFonts w:hint="eastAsia"/>
          <w:kern w:val="0"/>
          <w:szCs w:val="21"/>
        </w:rPr>
        <w:t>5</w:t>
      </w:r>
      <w:r w:rsidR="000A0AD2" w:rsidRPr="000A0AD2">
        <w:rPr>
          <w:rFonts w:hint="eastAsia"/>
          <w:kern w:val="0"/>
          <w:szCs w:val="21"/>
        </w:rPr>
        <w:t>日</w:t>
      </w:r>
    </w:p>
    <w:p w:rsidR="001B372B" w:rsidRPr="000A0AD2" w:rsidRDefault="001B372B" w:rsidP="00BA4DB0">
      <w:pPr>
        <w:ind w:firstLine="420"/>
      </w:pPr>
    </w:p>
    <w:sectPr w:rsidR="001B372B" w:rsidRPr="000A0AD2" w:rsidSect="0030516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92" w:rsidRDefault="003B0B92" w:rsidP="00BA4DB0">
      <w:pPr>
        <w:spacing w:line="240" w:lineRule="auto"/>
        <w:ind w:firstLine="420"/>
      </w:pPr>
      <w:r>
        <w:separator/>
      </w:r>
    </w:p>
  </w:endnote>
  <w:endnote w:type="continuationSeparator" w:id="1">
    <w:p w:rsidR="003B0B92" w:rsidRDefault="003B0B92" w:rsidP="00BA4DB0">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BA" w:rsidRDefault="00070EBA" w:rsidP="00070EB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123"/>
      <w:docPartObj>
        <w:docPartGallery w:val="Page Numbers (Bottom of Page)"/>
        <w:docPartUnique/>
      </w:docPartObj>
    </w:sdtPr>
    <w:sdtContent>
      <w:p w:rsidR="00321862" w:rsidRDefault="00990EEC" w:rsidP="00D71FF7">
        <w:pPr>
          <w:pStyle w:val="a4"/>
          <w:ind w:firstLine="360"/>
          <w:jc w:val="center"/>
        </w:pPr>
        <w:fldSimple w:instr=" PAGE   \* MERGEFORMAT ">
          <w:r w:rsidR="00D440FF" w:rsidRPr="00D440FF">
            <w:rPr>
              <w:noProof/>
              <w:lang w:val="zh-CN"/>
            </w:rPr>
            <w:t>6</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BA" w:rsidRDefault="00070EBA" w:rsidP="00070EB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92" w:rsidRDefault="003B0B92" w:rsidP="00BA4DB0">
      <w:pPr>
        <w:spacing w:line="240" w:lineRule="auto"/>
        <w:ind w:firstLine="420"/>
      </w:pPr>
      <w:r>
        <w:separator/>
      </w:r>
    </w:p>
  </w:footnote>
  <w:footnote w:type="continuationSeparator" w:id="1">
    <w:p w:rsidR="003B0B92" w:rsidRDefault="003B0B92" w:rsidP="00BA4DB0">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BA" w:rsidRDefault="00070EBA" w:rsidP="00070EB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BA" w:rsidRDefault="00070EBA" w:rsidP="00070EB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BA" w:rsidRDefault="00070EBA" w:rsidP="00070EBA">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E44"/>
      </v:shape>
    </w:pict>
  </w:numPicBullet>
  <w:abstractNum w:abstractNumId="0">
    <w:nsid w:val="064A7B99"/>
    <w:multiLevelType w:val="hybridMultilevel"/>
    <w:tmpl w:val="E2509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D6762"/>
    <w:multiLevelType w:val="hybridMultilevel"/>
    <w:tmpl w:val="9662C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97610"/>
    <w:multiLevelType w:val="hybridMultilevel"/>
    <w:tmpl w:val="7804AC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285AC0"/>
    <w:multiLevelType w:val="hybridMultilevel"/>
    <w:tmpl w:val="E41CC7C4"/>
    <w:lvl w:ilvl="0" w:tplc="81066540">
      <w:start w:val="1"/>
      <w:numFmt w:val="decimal"/>
      <w:pStyle w:val="4"/>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A73EB"/>
    <w:multiLevelType w:val="hybridMultilevel"/>
    <w:tmpl w:val="5E765108"/>
    <w:lvl w:ilvl="0" w:tplc="04090001">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3">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B481B1E"/>
    <w:multiLevelType w:val="hybridMultilevel"/>
    <w:tmpl w:val="C2EEA3C6"/>
    <w:lvl w:ilvl="0" w:tplc="062C1226">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991F31"/>
    <w:multiLevelType w:val="hybridMultilevel"/>
    <w:tmpl w:val="39B8B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E0BBB"/>
    <w:multiLevelType w:val="hybridMultilevel"/>
    <w:tmpl w:val="FB22DD84"/>
    <w:lvl w:ilvl="0" w:tplc="92E27226">
      <w:start w:val="1"/>
      <w:numFmt w:val="chineseCountingThousand"/>
      <w:pStyle w:val="2"/>
      <w:suff w:val="space"/>
      <w:lvlText w:val="（%1）"/>
      <w:lvlJc w:val="left"/>
      <w:pPr>
        <w:ind w:left="420" w:hanging="420"/>
      </w:pPr>
      <w:rPr>
        <w:rFonts w:hint="eastAsia"/>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8">
    <w:nsid w:val="62830B23"/>
    <w:multiLevelType w:val="hybridMultilevel"/>
    <w:tmpl w:val="7FB6F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B344B2"/>
    <w:multiLevelType w:val="hybridMultilevel"/>
    <w:tmpl w:val="E4285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0A5145"/>
    <w:multiLevelType w:val="hybridMultilevel"/>
    <w:tmpl w:val="FFB8C436"/>
    <w:lvl w:ilvl="0" w:tplc="04090009">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5" w:tentative="1">
      <w:start w:val="1"/>
      <w:numFmt w:val="lowerRoman"/>
      <w:lvlText w:val="%3."/>
      <w:lvlJc w:val="right"/>
      <w:pPr>
        <w:ind w:left="2520" w:hanging="420"/>
      </w:pPr>
    </w:lvl>
    <w:lvl w:ilvl="3" w:tplc="04090001" w:tentative="1">
      <w:start w:val="1"/>
      <w:numFmt w:val="decimal"/>
      <w:lvlText w:val="%4."/>
      <w:lvlJc w:val="left"/>
      <w:pPr>
        <w:ind w:left="2940" w:hanging="420"/>
      </w:pPr>
    </w:lvl>
    <w:lvl w:ilvl="4" w:tplc="04090003" w:tentative="1">
      <w:start w:val="1"/>
      <w:numFmt w:val="lowerLetter"/>
      <w:lvlText w:val="%5)"/>
      <w:lvlJc w:val="left"/>
      <w:pPr>
        <w:ind w:left="3360" w:hanging="420"/>
      </w:pPr>
    </w:lvl>
    <w:lvl w:ilvl="5" w:tplc="04090005" w:tentative="1">
      <w:start w:val="1"/>
      <w:numFmt w:val="lowerRoman"/>
      <w:lvlText w:val="%6."/>
      <w:lvlJc w:val="right"/>
      <w:pPr>
        <w:ind w:left="3780" w:hanging="420"/>
      </w:pPr>
    </w:lvl>
    <w:lvl w:ilvl="6" w:tplc="04090001" w:tentative="1">
      <w:start w:val="1"/>
      <w:numFmt w:val="decimal"/>
      <w:lvlText w:val="%7."/>
      <w:lvlJc w:val="left"/>
      <w:pPr>
        <w:ind w:left="4200" w:hanging="420"/>
      </w:pPr>
    </w:lvl>
    <w:lvl w:ilvl="7" w:tplc="04090003" w:tentative="1">
      <w:start w:val="1"/>
      <w:numFmt w:val="lowerLetter"/>
      <w:lvlText w:val="%8)"/>
      <w:lvlJc w:val="left"/>
      <w:pPr>
        <w:ind w:left="4620" w:hanging="420"/>
      </w:pPr>
    </w:lvl>
    <w:lvl w:ilvl="8" w:tplc="04090005" w:tentative="1">
      <w:start w:val="1"/>
      <w:numFmt w:val="lowerRoman"/>
      <w:lvlText w:val="%9."/>
      <w:lvlJc w:val="right"/>
      <w:pPr>
        <w:ind w:left="5040" w:hanging="420"/>
      </w:pPr>
    </w:lvl>
  </w:abstractNum>
  <w:abstractNum w:abstractNumId="11">
    <w:nsid w:val="717E46DC"/>
    <w:multiLevelType w:val="hybridMultilevel"/>
    <w:tmpl w:val="48204E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5E4E16"/>
    <w:multiLevelType w:val="hybridMultilevel"/>
    <w:tmpl w:val="ADF65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CC0144"/>
    <w:multiLevelType w:val="hybridMultilevel"/>
    <w:tmpl w:val="5AF4B2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E81521"/>
    <w:multiLevelType w:val="hybridMultilevel"/>
    <w:tmpl w:val="4EF44452"/>
    <w:lvl w:ilvl="0" w:tplc="7AE8AD14">
      <w:start w:val="1"/>
      <w:numFmt w:val="decimal"/>
      <w:pStyle w:val="3"/>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10"/>
    <w:lvlOverride w:ilvl="0">
      <w:startOverride w:val="1"/>
    </w:lvlOverride>
  </w:num>
  <w:num w:numId="4">
    <w:abstractNumId w:val="3"/>
  </w:num>
  <w:num w:numId="5">
    <w:abstractNumId w:val="7"/>
  </w:num>
  <w:num w:numId="6">
    <w:abstractNumId w:val="7"/>
    <w:lvlOverride w:ilvl="0">
      <w:startOverride w:val="1"/>
    </w:lvlOverride>
  </w:num>
  <w:num w:numId="7">
    <w:abstractNumId w:val="7"/>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num>
  <w:num w:numId="17">
    <w:abstractNumId w:val="7"/>
    <w:lvlOverride w:ilvl="0">
      <w:startOverride w:val="1"/>
    </w:lvlOverride>
  </w:num>
  <w:num w:numId="18">
    <w:abstractNumId w:val="10"/>
  </w:num>
  <w:num w:numId="19">
    <w:abstractNumId w:val="4"/>
  </w:num>
  <w:num w:numId="20">
    <w:abstractNumId w:val="6"/>
  </w:num>
  <w:num w:numId="21">
    <w:abstractNumId w:val="0"/>
  </w:num>
  <w:num w:numId="22">
    <w:abstractNumId w:val="2"/>
  </w:num>
  <w:num w:numId="23">
    <w:abstractNumId w:val="8"/>
  </w:num>
  <w:num w:numId="24">
    <w:abstractNumId w:val="12"/>
  </w:num>
  <w:num w:numId="25">
    <w:abstractNumId w:val="9"/>
  </w:num>
  <w:num w:numId="26">
    <w:abstractNumId w:val="1"/>
  </w:num>
  <w:num w:numId="27">
    <w:abstractNumId w:val="11"/>
  </w:num>
  <w:num w:numId="28">
    <w:abstractNumId w:val="14"/>
  </w:num>
  <w:num w:numId="29">
    <w:abstractNumId w:val="14"/>
    <w:lvlOverride w:ilvl="0">
      <w:startOverride w:val="1"/>
    </w:lvlOverride>
  </w:num>
  <w:num w:numId="30">
    <w:abstractNumId w:val="14"/>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1A5"/>
    <w:rsid w:val="000002F1"/>
    <w:rsid w:val="00002948"/>
    <w:rsid w:val="00012F66"/>
    <w:rsid w:val="00013515"/>
    <w:rsid w:val="00016CB2"/>
    <w:rsid w:val="0002174E"/>
    <w:rsid w:val="00021F3B"/>
    <w:rsid w:val="00030DF0"/>
    <w:rsid w:val="00030FDE"/>
    <w:rsid w:val="00032682"/>
    <w:rsid w:val="00037D49"/>
    <w:rsid w:val="00043F39"/>
    <w:rsid w:val="00044D26"/>
    <w:rsid w:val="00056E17"/>
    <w:rsid w:val="000601FC"/>
    <w:rsid w:val="00061174"/>
    <w:rsid w:val="000623BA"/>
    <w:rsid w:val="00065D2B"/>
    <w:rsid w:val="00066624"/>
    <w:rsid w:val="00070EBA"/>
    <w:rsid w:val="00071CA1"/>
    <w:rsid w:val="00072B80"/>
    <w:rsid w:val="000741F5"/>
    <w:rsid w:val="000858D0"/>
    <w:rsid w:val="00086AE3"/>
    <w:rsid w:val="00092C93"/>
    <w:rsid w:val="000953CE"/>
    <w:rsid w:val="00096270"/>
    <w:rsid w:val="0009768F"/>
    <w:rsid w:val="000978DD"/>
    <w:rsid w:val="00097E99"/>
    <w:rsid w:val="000A0AD2"/>
    <w:rsid w:val="000A3B4A"/>
    <w:rsid w:val="000A5E57"/>
    <w:rsid w:val="000A64CB"/>
    <w:rsid w:val="000B4BFC"/>
    <w:rsid w:val="000B6482"/>
    <w:rsid w:val="000B7C05"/>
    <w:rsid w:val="000C2A4A"/>
    <w:rsid w:val="000D242A"/>
    <w:rsid w:val="000D28A4"/>
    <w:rsid w:val="000D365E"/>
    <w:rsid w:val="000D7B9B"/>
    <w:rsid w:val="000E0A53"/>
    <w:rsid w:val="000F1587"/>
    <w:rsid w:val="000F1C8E"/>
    <w:rsid w:val="000F3013"/>
    <w:rsid w:val="000F55C9"/>
    <w:rsid w:val="0010164B"/>
    <w:rsid w:val="00101E6E"/>
    <w:rsid w:val="00103F8B"/>
    <w:rsid w:val="001203D9"/>
    <w:rsid w:val="0012631C"/>
    <w:rsid w:val="00126594"/>
    <w:rsid w:val="001266CC"/>
    <w:rsid w:val="001273BD"/>
    <w:rsid w:val="001325B1"/>
    <w:rsid w:val="00132758"/>
    <w:rsid w:val="00135ECF"/>
    <w:rsid w:val="0014115E"/>
    <w:rsid w:val="001420CF"/>
    <w:rsid w:val="0014244B"/>
    <w:rsid w:val="00144EB7"/>
    <w:rsid w:val="00145439"/>
    <w:rsid w:val="001467E3"/>
    <w:rsid w:val="00147845"/>
    <w:rsid w:val="00154207"/>
    <w:rsid w:val="0015517C"/>
    <w:rsid w:val="00170905"/>
    <w:rsid w:val="00171A57"/>
    <w:rsid w:val="001725F7"/>
    <w:rsid w:val="00173C74"/>
    <w:rsid w:val="001749DA"/>
    <w:rsid w:val="00184C42"/>
    <w:rsid w:val="001A17F1"/>
    <w:rsid w:val="001A2C88"/>
    <w:rsid w:val="001A3E4B"/>
    <w:rsid w:val="001A5727"/>
    <w:rsid w:val="001B2123"/>
    <w:rsid w:val="001B372B"/>
    <w:rsid w:val="001C06D1"/>
    <w:rsid w:val="001C0F65"/>
    <w:rsid w:val="001C7045"/>
    <w:rsid w:val="001D1451"/>
    <w:rsid w:val="001D364B"/>
    <w:rsid w:val="001D3D49"/>
    <w:rsid w:val="001D68DD"/>
    <w:rsid w:val="001E6DCC"/>
    <w:rsid w:val="001F0DC1"/>
    <w:rsid w:val="001F390A"/>
    <w:rsid w:val="001F6E42"/>
    <w:rsid w:val="001F72A2"/>
    <w:rsid w:val="0020782D"/>
    <w:rsid w:val="00221B32"/>
    <w:rsid w:val="002225D4"/>
    <w:rsid w:val="00227670"/>
    <w:rsid w:val="00230DDA"/>
    <w:rsid w:val="00235973"/>
    <w:rsid w:val="00241471"/>
    <w:rsid w:val="002415FA"/>
    <w:rsid w:val="00255CB4"/>
    <w:rsid w:val="00262675"/>
    <w:rsid w:val="002635FF"/>
    <w:rsid w:val="002649DB"/>
    <w:rsid w:val="00273DE1"/>
    <w:rsid w:val="00275DBE"/>
    <w:rsid w:val="00277C78"/>
    <w:rsid w:val="00283A78"/>
    <w:rsid w:val="00295F58"/>
    <w:rsid w:val="002A3415"/>
    <w:rsid w:val="002A56C9"/>
    <w:rsid w:val="002B154A"/>
    <w:rsid w:val="002B4989"/>
    <w:rsid w:val="002B7F00"/>
    <w:rsid w:val="002C1080"/>
    <w:rsid w:val="002C13BB"/>
    <w:rsid w:val="002C2863"/>
    <w:rsid w:val="002C6D41"/>
    <w:rsid w:val="002D3415"/>
    <w:rsid w:val="002D3DD0"/>
    <w:rsid w:val="002D40EC"/>
    <w:rsid w:val="002D5EB9"/>
    <w:rsid w:val="002D74F2"/>
    <w:rsid w:val="002D7D52"/>
    <w:rsid w:val="002D7D8B"/>
    <w:rsid w:val="002E0DB6"/>
    <w:rsid w:val="002E2300"/>
    <w:rsid w:val="002F2A55"/>
    <w:rsid w:val="002F7361"/>
    <w:rsid w:val="00301D65"/>
    <w:rsid w:val="00302AAD"/>
    <w:rsid w:val="00305164"/>
    <w:rsid w:val="00310529"/>
    <w:rsid w:val="00314A8E"/>
    <w:rsid w:val="00321862"/>
    <w:rsid w:val="0032297F"/>
    <w:rsid w:val="0033572A"/>
    <w:rsid w:val="00336A0B"/>
    <w:rsid w:val="00337B7E"/>
    <w:rsid w:val="00341D54"/>
    <w:rsid w:val="00342189"/>
    <w:rsid w:val="00350D62"/>
    <w:rsid w:val="0036208F"/>
    <w:rsid w:val="00365966"/>
    <w:rsid w:val="00366A5D"/>
    <w:rsid w:val="00366F12"/>
    <w:rsid w:val="0036786D"/>
    <w:rsid w:val="00367E6C"/>
    <w:rsid w:val="00372FE3"/>
    <w:rsid w:val="003815BE"/>
    <w:rsid w:val="00385B8E"/>
    <w:rsid w:val="00386313"/>
    <w:rsid w:val="0038677C"/>
    <w:rsid w:val="00392F5B"/>
    <w:rsid w:val="00393B2B"/>
    <w:rsid w:val="00396CC7"/>
    <w:rsid w:val="003A3867"/>
    <w:rsid w:val="003A3CF5"/>
    <w:rsid w:val="003B0B92"/>
    <w:rsid w:val="003B2B33"/>
    <w:rsid w:val="003B6CAD"/>
    <w:rsid w:val="003C663A"/>
    <w:rsid w:val="003D7BE3"/>
    <w:rsid w:val="003E4406"/>
    <w:rsid w:val="003E78D2"/>
    <w:rsid w:val="0040279E"/>
    <w:rsid w:val="004052DA"/>
    <w:rsid w:val="00407466"/>
    <w:rsid w:val="0040791B"/>
    <w:rsid w:val="004107D8"/>
    <w:rsid w:val="00412019"/>
    <w:rsid w:val="00420C05"/>
    <w:rsid w:val="00422547"/>
    <w:rsid w:val="00423CB6"/>
    <w:rsid w:val="004243A5"/>
    <w:rsid w:val="0043208E"/>
    <w:rsid w:val="004439CD"/>
    <w:rsid w:val="00445CC0"/>
    <w:rsid w:val="00457C71"/>
    <w:rsid w:val="00465859"/>
    <w:rsid w:val="004709BE"/>
    <w:rsid w:val="00477F56"/>
    <w:rsid w:val="00484A8C"/>
    <w:rsid w:val="00485569"/>
    <w:rsid w:val="00485983"/>
    <w:rsid w:val="004869FB"/>
    <w:rsid w:val="00486F81"/>
    <w:rsid w:val="004913AD"/>
    <w:rsid w:val="00496E82"/>
    <w:rsid w:val="004A097A"/>
    <w:rsid w:val="004A5FB8"/>
    <w:rsid w:val="004A621C"/>
    <w:rsid w:val="004B527C"/>
    <w:rsid w:val="004B670E"/>
    <w:rsid w:val="004C0972"/>
    <w:rsid w:val="004C0FC5"/>
    <w:rsid w:val="004C4A0D"/>
    <w:rsid w:val="004C5CA6"/>
    <w:rsid w:val="004C6BE9"/>
    <w:rsid w:val="004C7A5E"/>
    <w:rsid w:val="004D7E9D"/>
    <w:rsid w:val="004E23B3"/>
    <w:rsid w:val="004E6B6C"/>
    <w:rsid w:val="004F266F"/>
    <w:rsid w:val="004F6C0B"/>
    <w:rsid w:val="00503AD5"/>
    <w:rsid w:val="00506BBE"/>
    <w:rsid w:val="005071A1"/>
    <w:rsid w:val="00507F6B"/>
    <w:rsid w:val="0051246C"/>
    <w:rsid w:val="0051633A"/>
    <w:rsid w:val="00517E44"/>
    <w:rsid w:val="0052096C"/>
    <w:rsid w:val="005229E3"/>
    <w:rsid w:val="00522AAC"/>
    <w:rsid w:val="00523689"/>
    <w:rsid w:val="00524D1C"/>
    <w:rsid w:val="005251C8"/>
    <w:rsid w:val="00527263"/>
    <w:rsid w:val="00527A3C"/>
    <w:rsid w:val="00536D2D"/>
    <w:rsid w:val="0054136D"/>
    <w:rsid w:val="00545DCC"/>
    <w:rsid w:val="0054756C"/>
    <w:rsid w:val="00547BF6"/>
    <w:rsid w:val="00551682"/>
    <w:rsid w:val="00566161"/>
    <w:rsid w:val="00572BBE"/>
    <w:rsid w:val="00572C14"/>
    <w:rsid w:val="0057781A"/>
    <w:rsid w:val="00590CF2"/>
    <w:rsid w:val="0059132A"/>
    <w:rsid w:val="00591E63"/>
    <w:rsid w:val="005A5AEE"/>
    <w:rsid w:val="005A60AB"/>
    <w:rsid w:val="005A7658"/>
    <w:rsid w:val="005B7051"/>
    <w:rsid w:val="005B7D18"/>
    <w:rsid w:val="005D06EB"/>
    <w:rsid w:val="005E3B73"/>
    <w:rsid w:val="005E5E98"/>
    <w:rsid w:val="005E63FC"/>
    <w:rsid w:val="005E66EE"/>
    <w:rsid w:val="005E74FC"/>
    <w:rsid w:val="005F7F9B"/>
    <w:rsid w:val="00606880"/>
    <w:rsid w:val="006130AF"/>
    <w:rsid w:val="006162F9"/>
    <w:rsid w:val="00620080"/>
    <w:rsid w:val="00620325"/>
    <w:rsid w:val="00621836"/>
    <w:rsid w:val="00634E4B"/>
    <w:rsid w:val="006355D3"/>
    <w:rsid w:val="00635B2C"/>
    <w:rsid w:val="00642802"/>
    <w:rsid w:val="006430C1"/>
    <w:rsid w:val="00650C87"/>
    <w:rsid w:val="006540DB"/>
    <w:rsid w:val="00656C34"/>
    <w:rsid w:val="00660186"/>
    <w:rsid w:val="00661BA7"/>
    <w:rsid w:val="00663E9A"/>
    <w:rsid w:val="00665B30"/>
    <w:rsid w:val="006741C6"/>
    <w:rsid w:val="00684048"/>
    <w:rsid w:val="006925C2"/>
    <w:rsid w:val="00695E96"/>
    <w:rsid w:val="006A0F80"/>
    <w:rsid w:val="006A3316"/>
    <w:rsid w:val="006A3F0E"/>
    <w:rsid w:val="006A464E"/>
    <w:rsid w:val="006B678D"/>
    <w:rsid w:val="006B7A18"/>
    <w:rsid w:val="006C10B2"/>
    <w:rsid w:val="006D1401"/>
    <w:rsid w:val="006D3008"/>
    <w:rsid w:val="006D36D5"/>
    <w:rsid w:val="006D3EB0"/>
    <w:rsid w:val="006E1A5B"/>
    <w:rsid w:val="006E420D"/>
    <w:rsid w:val="006E4675"/>
    <w:rsid w:val="006E4A5A"/>
    <w:rsid w:val="006F06D9"/>
    <w:rsid w:val="00711382"/>
    <w:rsid w:val="007134BA"/>
    <w:rsid w:val="00716C03"/>
    <w:rsid w:val="00723A6E"/>
    <w:rsid w:val="00724003"/>
    <w:rsid w:val="0073311B"/>
    <w:rsid w:val="00734262"/>
    <w:rsid w:val="007345FF"/>
    <w:rsid w:val="00740734"/>
    <w:rsid w:val="007409CF"/>
    <w:rsid w:val="00741738"/>
    <w:rsid w:val="007417C3"/>
    <w:rsid w:val="00753C84"/>
    <w:rsid w:val="00753E34"/>
    <w:rsid w:val="007560D7"/>
    <w:rsid w:val="00765196"/>
    <w:rsid w:val="007666AB"/>
    <w:rsid w:val="0077736B"/>
    <w:rsid w:val="00781969"/>
    <w:rsid w:val="00781EBC"/>
    <w:rsid w:val="007827C0"/>
    <w:rsid w:val="00790EAA"/>
    <w:rsid w:val="00795113"/>
    <w:rsid w:val="007A346E"/>
    <w:rsid w:val="007B2A45"/>
    <w:rsid w:val="007B34DF"/>
    <w:rsid w:val="007B371E"/>
    <w:rsid w:val="007B3D64"/>
    <w:rsid w:val="007B69BD"/>
    <w:rsid w:val="007C2DE3"/>
    <w:rsid w:val="007C4463"/>
    <w:rsid w:val="007C7B3F"/>
    <w:rsid w:val="007D09C5"/>
    <w:rsid w:val="007D24B0"/>
    <w:rsid w:val="007D6EFE"/>
    <w:rsid w:val="007E13BB"/>
    <w:rsid w:val="007E5400"/>
    <w:rsid w:val="007E6885"/>
    <w:rsid w:val="007F20D9"/>
    <w:rsid w:val="007F3DEA"/>
    <w:rsid w:val="007F47A2"/>
    <w:rsid w:val="00800111"/>
    <w:rsid w:val="00802972"/>
    <w:rsid w:val="00803BB4"/>
    <w:rsid w:val="00813355"/>
    <w:rsid w:val="008163B6"/>
    <w:rsid w:val="00820372"/>
    <w:rsid w:val="008222B6"/>
    <w:rsid w:val="00822FC6"/>
    <w:rsid w:val="00823A73"/>
    <w:rsid w:val="008261FA"/>
    <w:rsid w:val="00832DEE"/>
    <w:rsid w:val="00851454"/>
    <w:rsid w:val="00851AC1"/>
    <w:rsid w:val="00851CE9"/>
    <w:rsid w:val="00860598"/>
    <w:rsid w:val="00871B69"/>
    <w:rsid w:val="00874F05"/>
    <w:rsid w:val="00876098"/>
    <w:rsid w:val="0088203B"/>
    <w:rsid w:val="00882672"/>
    <w:rsid w:val="00885A71"/>
    <w:rsid w:val="00887B6D"/>
    <w:rsid w:val="008A31A5"/>
    <w:rsid w:val="008A39DE"/>
    <w:rsid w:val="008B177B"/>
    <w:rsid w:val="008B41D6"/>
    <w:rsid w:val="008B45AC"/>
    <w:rsid w:val="008C5431"/>
    <w:rsid w:val="008D0285"/>
    <w:rsid w:val="008D0BDA"/>
    <w:rsid w:val="008E1538"/>
    <w:rsid w:val="008E16AB"/>
    <w:rsid w:val="008E3BF8"/>
    <w:rsid w:val="008E6C52"/>
    <w:rsid w:val="008E7F6D"/>
    <w:rsid w:val="008F22A2"/>
    <w:rsid w:val="0090018B"/>
    <w:rsid w:val="00904102"/>
    <w:rsid w:val="0090455F"/>
    <w:rsid w:val="00910385"/>
    <w:rsid w:val="00911C71"/>
    <w:rsid w:val="009128A5"/>
    <w:rsid w:val="009203C8"/>
    <w:rsid w:val="009213CF"/>
    <w:rsid w:val="009248AE"/>
    <w:rsid w:val="00927547"/>
    <w:rsid w:val="00943898"/>
    <w:rsid w:val="00955C8D"/>
    <w:rsid w:val="00961885"/>
    <w:rsid w:val="00961CD8"/>
    <w:rsid w:val="0096283E"/>
    <w:rsid w:val="00965EEF"/>
    <w:rsid w:val="009662DB"/>
    <w:rsid w:val="009722D9"/>
    <w:rsid w:val="00976F61"/>
    <w:rsid w:val="00977B1A"/>
    <w:rsid w:val="00984071"/>
    <w:rsid w:val="00990EEC"/>
    <w:rsid w:val="00991727"/>
    <w:rsid w:val="00993403"/>
    <w:rsid w:val="009942D4"/>
    <w:rsid w:val="00997E0D"/>
    <w:rsid w:val="009A348F"/>
    <w:rsid w:val="009B042B"/>
    <w:rsid w:val="009C1166"/>
    <w:rsid w:val="009C336C"/>
    <w:rsid w:val="009C5C1C"/>
    <w:rsid w:val="009D307D"/>
    <w:rsid w:val="009E2F3F"/>
    <w:rsid w:val="009E7D5C"/>
    <w:rsid w:val="009E7D8F"/>
    <w:rsid w:val="009F1712"/>
    <w:rsid w:val="009F4060"/>
    <w:rsid w:val="00A104FC"/>
    <w:rsid w:val="00A14CC5"/>
    <w:rsid w:val="00A21020"/>
    <w:rsid w:val="00A22F74"/>
    <w:rsid w:val="00A25645"/>
    <w:rsid w:val="00A30278"/>
    <w:rsid w:val="00A3174D"/>
    <w:rsid w:val="00A3564A"/>
    <w:rsid w:val="00A36604"/>
    <w:rsid w:val="00A40D28"/>
    <w:rsid w:val="00A419EC"/>
    <w:rsid w:val="00A4230A"/>
    <w:rsid w:val="00A56A81"/>
    <w:rsid w:val="00A624CA"/>
    <w:rsid w:val="00A62FEC"/>
    <w:rsid w:val="00A70464"/>
    <w:rsid w:val="00A713B0"/>
    <w:rsid w:val="00A71903"/>
    <w:rsid w:val="00A83F98"/>
    <w:rsid w:val="00A84EAF"/>
    <w:rsid w:val="00A8580A"/>
    <w:rsid w:val="00A90CEC"/>
    <w:rsid w:val="00A91ECC"/>
    <w:rsid w:val="00A9622B"/>
    <w:rsid w:val="00AA3003"/>
    <w:rsid w:val="00AA60A8"/>
    <w:rsid w:val="00AB16ED"/>
    <w:rsid w:val="00AB2FC3"/>
    <w:rsid w:val="00AB6F46"/>
    <w:rsid w:val="00AB755F"/>
    <w:rsid w:val="00AC0FAC"/>
    <w:rsid w:val="00AC60D3"/>
    <w:rsid w:val="00AC7750"/>
    <w:rsid w:val="00AC7B4E"/>
    <w:rsid w:val="00AC7E69"/>
    <w:rsid w:val="00AD10E0"/>
    <w:rsid w:val="00AD3CFE"/>
    <w:rsid w:val="00AF3810"/>
    <w:rsid w:val="00AF4197"/>
    <w:rsid w:val="00AF5792"/>
    <w:rsid w:val="00B076B0"/>
    <w:rsid w:val="00B20B75"/>
    <w:rsid w:val="00B21530"/>
    <w:rsid w:val="00B254CB"/>
    <w:rsid w:val="00B31A45"/>
    <w:rsid w:val="00B3551F"/>
    <w:rsid w:val="00B3636B"/>
    <w:rsid w:val="00B44AD3"/>
    <w:rsid w:val="00B47E18"/>
    <w:rsid w:val="00B50674"/>
    <w:rsid w:val="00B602DF"/>
    <w:rsid w:val="00B61F71"/>
    <w:rsid w:val="00B61FD9"/>
    <w:rsid w:val="00B74736"/>
    <w:rsid w:val="00B75D7A"/>
    <w:rsid w:val="00B802E2"/>
    <w:rsid w:val="00B80F8B"/>
    <w:rsid w:val="00B82617"/>
    <w:rsid w:val="00B8792F"/>
    <w:rsid w:val="00B90BFE"/>
    <w:rsid w:val="00B97788"/>
    <w:rsid w:val="00BA4DB0"/>
    <w:rsid w:val="00BB0D40"/>
    <w:rsid w:val="00BB4E94"/>
    <w:rsid w:val="00BC76A3"/>
    <w:rsid w:val="00BD4B05"/>
    <w:rsid w:val="00BD7B5D"/>
    <w:rsid w:val="00BD7D80"/>
    <w:rsid w:val="00BE4E82"/>
    <w:rsid w:val="00BE50A7"/>
    <w:rsid w:val="00BF0A4A"/>
    <w:rsid w:val="00BF0DE1"/>
    <w:rsid w:val="00BF1321"/>
    <w:rsid w:val="00BF1849"/>
    <w:rsid w:val="00BF3BA9"/>
    <w:rsid w:val="00BF77D2"/>
    <w:rsid w:val="00C03289"/>
    <w:rsid w:val="00C061D8"/>
    <w:rsid w:val="00C10D9C"/>
    <w:rsid w:val="00C15554"/>
    <w:rsid w:val="00C20524"/>
    <w:rsid w:val="00C21584"/>
    <w:rsid w:val="00C37CE4"/>
    <w:rsid w:val="00C543BF"/>
    <w:rsid w:val="00C63D91"/>
    <w:rsid w:val="00C67BEF"/>
    <w:rsid w:val="00C75F6D"/>
    <w:rsid w:val="00C825C6"/>
    <w:rsid w:val="00C91E7D"/>
    <w:rsid w:val="00CA10B9"/>
    <w:rsid w:val="00CA1F41"/>
    <w:rsid w:val="00CA3716"/>
    <w:rsid w:val="00CA62D6"/>
    <w:rsid w:val="00CA6C58"/>
    <w:rsid w:val="00CA6DAC"/>
    <w:rsid w:val="00CB0F65"/>
    <w:rsid w:val="00CB7747"/>
    <w:rsid w:val="00CD6D48"/>
    <w:rsid w:val="00CE5A93"/>
    <w:rsid w:val="00CE7D85"/>
    <w:rsid w:val="00CE7DC3"/>
    <w:rsid w:val="00CF1962"/>
    <w:rsid w:val="00CF25A0"/>
    <w:rsid w:val="00CF274B"/>
    <w:rsid w:val="00CF2B7F"/>
    <w:rsid w:val="00D01442"/>
    <w:rsid w:val="00D028D7"/>
    <w:rsid w:val="00D031D5"/>
    <w:rsid w:val="00D037FB"/>
    <w:rsid w:val="00D060FC"/>
    <w:rsid w:val="00D0707F"/>
    <w:rsid w:val="00D172AF"/>
    <w:rsid w:val="00D22FD5"/>
    <w:rsid w:val="00D26BE7"/>
    <w:rsid w:val="00D31CF0"/>
    <w:rsid w:val="00D33438"/>
    <w:rsid w:val="00D374A6"/>
    <w:rsid w:val="00D440FF"/>
    <w:rsid w:val="00D606BD"/>
    <w:rsid w:val="00D637E3"/>
    <w:rsid w:val="00D66AC8"/>
    <w:rsid w:val="00D67B2C"/>
    <w:rsid w:val="00D71FF7"/>
    <w:rsid w:val="00D73BC8"/>
    <w:rsid w:val="00D73FD0"/>
    <w:rsid w:val="00D74B81"/>
    <w:rsid w:val="00D80347"/>
    <w:rsid w:val="00D80795"/>
    <w:rsid w:val="00D87007"/>
    <w:rsid w:val="00D877A7"/>
    <w:rsid w:val="00D87A44"/>
    <w:rsid w:val="00D87BC9"/>
    <w:rsid w:val="00D91C5D"/>
    <w:rsid w:val="00D9603A"/>
    <w:rsid w:val="00DA168C"/>
    <w:rsid w:val="00DA6BA8"/>
    <w:rsid w:val="00DB125C"/>
    <w:rsid w:val="00DB4761"/>
    <w:rsid w:val="00DB5CAD"/>
    <w:rsid w:val="00DB6B0B"/>
    <w:rsid w:val="00DC2A59"/>
    <w:rsid w:val="00DC2C83"/>
    <w:rsid w:val="00DC3E10"/>
    <w:rsid w:val="00DD1C49"/>
    <w:rsid w:val="00DD1E63"/>
    <w:rsid w:val="00DD2725"/>
    <w:rsid w:val="00DD6E62"/>
    <w:rsid w:val="00DE143A"/>
    <w:rsid w:val="00DE2598"/>
    <w:rsid w:val="00DE4959"/>
    <w:rsid w:val="00DE6411"/>
    <w:rsid w:val="00DE6536"/>
    <w:rsid w:val="00DF023A"/>
    <w:rsid w:val="00DF18D9"/>
    <w:rsid w:val="00DF4ECF"/>
    <w:rsid w:val="00E0030A"/>
    <w:rsid w:val="00E04FB0"/>
    <w:rsid w:val="00E16095"/>
    <w:rsid w:val="00E16FC7"/>
    <w:rsid w:val="00E25C3C"/>
    <w:rsid w:val="00E47784"/>
    <w:rsid w:val="00E52229"/>
    <w:rsid w:val="00E55CC8"/>
    <w:rsid w:val="00E657DB"/>
    <w:rsid w:val="00E83678"/>
    <w:rsid w:val="00E85932"/>
    <w:rsid w:val="00E86AFC"/>
    <w:rsid w:val="00E87C2B"/>
    <w:rsid w:val="00E87E65"/>
    <w:rsid w:val="00EA2828"/>
    <w:rsid w:val="00EA7FC6"/>
    <w:rsid w:val="00EB3803"/>
    <w:rsid w:val="00EC45A3"/>
    <w:rsid w:val="00EC4CFD"/>
    <w:rsid w:val="00EC5162"/>
    <w:rsid w:val="00EC612C"/>
    <w:rsid w:val="00EC6680"/>
    <w:rsid w:val="00ED60DB"/>
    <w:rsid w:val="00ED759A"/>
    <w:rsid w:val="00EE77B5"/>
    <w:rsid w:val="00EF067F"/>
    <w:rsid w:val="00EF772C"/>
    <w:rsid w:val="00F0047D"/>
    <w:rsid w:val="00F131FE"/>
    <w:rsid w:val="00F14C4A"/>
    <w:rsid w:val="00F14DE9"/>
    <w:rsid w:val="00F22F6B"/>
    <w:rsid w:val="00F24F05"/>
    <w:rsid w:val="00F27AE4"/>
    <w:rsid w:val="00F30F3B"/>
    <w:rsid w:val="00F44299"/>
    <w:rsid w:val="00F450C4"/>
    <w:rsid w:val="00F460FF"/>
    <w:rsid w:val="00F61FCF"/>
    <w:rsid w:val="00F64A97"/>
    <w:rsid w:val="00F65199"/>
    <w:rsid w:val="00F66AB3"/>
    <w:rsid w:val="00F6766A"/>
    <w:rsid w:val="00F67F9A"/>
    <w:rsid w:val="00F7068A"/>
    <w:rsid w:val="00F71662"/>
    <w:rsid w:val="00F82AF8"/>
    <w:rsid w:val="00F82F14"/>
    <w:rsid w:val="00F911F5"/>
    <w:rsid w:val="00F9362F"/>
    <w:rsid w:val="00F95FDF"/>
    <w:rsid w:val="00F9649C"/>
    <w:rsid w:val="00FA093A"/>
    <w:rsid w:val="00FB5FFB"/>
    <w:rsid w:val="00FB7470"/>
    <w:rsid w:val="00FC27C4"/>
    <w:rsid w:val="00FC33B8"/>
    <w:rsid w:val="00FD0A44"/>
    <w:rsid w:val="00FD10B3"/>
    <w:rsid w:val="00FD6772"/>
    <w:rsid w:val="00FE5069"/>
    <w:rsid w:val="00FF0091"/>
    <w:rsid w:val="00FF4DB5"/>
    <w:rsid w:val="00FF599C"/>
    <w:rsid w:val="00FF6BFD"/>
    <w:rsid w:val="00FF7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B0"/>
    <w:pPr>
      <w:widowControl w:val="0"/>
      <w:ind w:firstLineChars="200" w:firstLine="200"/>
    </w:pPr>
    <w:rPr>
      <w:rFonts w:ascii="Times New Roman" w:eastAsia="宋体" w:hAnsi="Times New Roman"/>
    </w:rPr>
  </w:style>
  <w:style w:type="paragraph" w:styleId="1">
    <w:name w:val="heading 1"/>
    <w:aliases w:val="万研一"/>
    <w:basedOn w:val="a"/>
    <w:next w:val="a"/>
    <w:link w:val="1Char"/>
    <w:uiPriority w:val="9"/>
    <w:qFormat/>
    <w:rsid w:val="00D71FF7"/>
    <w:pPr>
      <w:keepNext/>
      <w:keepLines/>
      <w:numPr>
        <w:numId w:val="1"/>
      </w:numPr>
      <w:spacing w:beforeLines="50" w:afterLines="50"/>
      <w:ind w:left="0" w:firstLineChars="0" w:firstLine="0"/>
      <w:outlineLvl w:val="0"/>
    </w:pPr>
    <w:rPr>
      <w:b/>
      <w:bCs/>
      <w:kern w:val="44"/>
      <w:sz w:val="28"/>
      <w:szCs w:val="44"/>
    </w:rPr>
  </w:style>
  <w:style w:type="paragraph" w:styleId="2">
    <w:name w:val="heading 2"/>
    <w:aliases w:val="万研二"/>
    <w:basedOn w:val="a"/>
    <w:next w:val="a"/>
    <w:link w:val="2Char"/>
    <w:uiPriority w:val="9"/>
    <w:unhideWhenUsed/>
    <w:qFormat/>
    <w:rsid w:val="00D71FF7"/>
    <w:pPr>
      <w:keepNext/>
      <w:keepLines/>
      <w:numPr>
        <w:numId w:val="5"/>
      </w:numPr>
      <w:ind w:left="0" w:firstLineChars="0" w:firstLine="0"/>
      <w:outlineLvl w:val="1"/>
    </w:pPr>
    <w:rPr>
      <w:rFonts w:eastAsiaTheme="majorEastAsia" w:cstheme="majorBidi"/>
      <w:bCs/>
      <w:szCs w:val="32"/>
    </w:rPr>
  </w:style>
  <w:style w:type="paragraph" w:styleId="3">
    <w:name w:val="heading 3"/>
    <w:aliases w:val="万研三,万研二级"/>
    <w:basedOn w:val="a"/>
    <w:next w:val="a"/>
    <w:link w:val="3Char"/>
    <w:uiPriority w:val="9"/>
    <w:unhideWhenUsed/>
    <w:qFormat/>
    <w:rsid w:val="00D71FF7"/>
    <w:pPr>
      <w:keepNext/>
      <w:keepLines/>
      <w:numPr>
        <w:numId w:val="28"/>
      </w:numPr>
      <w:ind w:left="0" w:firstLine="200"/>
      <w:outlineLvl w:val="2"/>
    </w:pPr>
    <w:rPr>
      <w:bCs/>
      <w:szCs w:val="32"/>
    </w:rPr>
  </w:style>
  <w:style w:type="paragraph" w:styleId="4">
    <w:name w:val="heading 4"/>
    <w:aliases w:val="万研四"/>
    <w:basedOn w:val="a"/>
    <w:next w:val="a"/>
    <w:link w:val="4Char"/>
    <w:uiPriority w:val="9"/>
    <w:unhideWhenUsed/>
    <w:qFormat/>
    <w:rsid w:val="00D71FF7"/>
    <w:pPr>
      <w:keepNext/>
      <w:keepLines/>
      <w:numPr>
        <w:numId w:val="4"/>
      </w:numPr>
      <w:ind w:left="0" w:firstLine="200"/>
      <w:outlineLvl w:val="3"/>
    </w:pPr>
    <w:rPr>
      <w:rFonts w:eastAsiaTheme="majorEastAsia" w:cstheme="majorBidi"/>
      <w:bCs/>
      <w:szCs w:val="28"/>
    </w:rPr>
  </w:style>
  <w:style w:type="paragraph" w:styleId="5">
    <w:name w:val="heading 5"/>
    <w:basedOn w:val="a"/>
    <w:next w:val="a"/>
    <w:link w:val="5Char"/>
    <w:autoRedefine/>
    <w:uiPriority w:val="9"/>
    <w:unhideWhenUsed/>
    <w:qFormat/>
    <w:rsid w:val="00800111"/>
    <w:pPr>
      <w:keepNext/>
      <w:keepLines/>
      <w:ind w:firstLineChars="0" w:firstLine="0"/>
      <w:outlineLvl w:val="4"/>
    </w:pPr>
    <w:rPr>
      <w:b/>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6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C663A"/>
    <w:rPr>
      <w:sz w:val="18"/>
      <w:szCs w:val="18"/>
    </w:rPr>
  </w:style>
  <w:style w:type="paragraph" w:styleId="a4">
    <w:name w:val="footer"/>
    <w:basedOn w:val="a"/>
    <w:link w:val="Char0"/>
    <w:uiPriority w:val="99"/>
    <w:unhideWhenUsed/>
    <w:rsid w:val="003C663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C663A"/>
    <w:rPr>
      <w:sz w:val="18"/>
      <w:szCs w:val="18"/>
    </w:rPr>
  </w:style>
  <w:style w:type="paragraph" w:styleId="a5">
    <w:name w:val="Balloon Text"/>
    <w:basedOn w:val="a"/>
    <w:link w:val="Char1"/>
    <w:uiPriority w:val="99"/>
    <w:semiHidden/>
    <w:unhideWhenUsed/>
    <w:rsid w:val="001E6DCC"/>
    <w:pPr>
      <w:spacing w:line="240" w:lineRule="auto"/>
    </w:pPr>
    <w:rPr>
      <w:sz w:val="18"/>
      <w:szCs w:val="18"/>
    </w:rPr>
  </w:style>
  <w:style w:type="character" w:customStyle="1" w:styleId="Char1">
    <w:name w:val="批注框文本 Char"/>
    <w:basedOn w:val="a0"/>
    <w:link w:val="a5"/>
    <w:uiPriority w:val="99"/>
    <w:semiHidden/>
    <w:rsid w:val="001E6DCC"/>
    <w:rPr>
      <w:sz w:val="18"/>
      <w:szCs w:val="18"/>
    </w:rPr>
  </w:style>
  <w:style w:type="paragraph" w:styleId="a6">
    <w:name w:val="List Paragraph"/>
    <w:basedOn w:val="a"/>
    <w:uiPriority w:val="34"/>
    <w:qFormat/>
    <w:rsid w:val="00522AAC"/>
    <w:pPr>
      <w:ind w:firstLine="420"/>
    </w:pPr>
  </w:style>
  <w:style w:type="paragraph" w:styleId="a7">
    <w:name w:val="Document Map"/>
    <w:basedOn w:val="a"/>
    <w:link w:val="Char2"/>
    <w:uiPriority w:val="99"/>
    <w:semiHidden/>
    <w:unhideWhenUsed/>
    <w:rsid w:val="007417C3"/>
    <w:rPr>
      <w:rFonts w:ascii="宋体"/>
      <w:sz w:val="18"/>
      <w:szCs w:val="18"/>
    </w:rPr>
  </w:style>
  <w:style w:type="character" w:customStyle="1" w:styleId="Char2">
    <w:name w:val="文档结构图 Char"/>
    <w:basedOn w:val="a0"/>
    <w:link w:val="a7"/>
    <w:uiPriority w:val="99"/>
    <w:semiHidden/>
    <w:rsid w:val="007417C3"/>
    <w:rPr>
      <w:rFonts w:ascii="宋体" w:eastAsia="宋体"/>
      <w:sz w:val="18"/>
      <w:szCs w:val="18"/>
    </w:rPr>
  </w:style>
  <w:style w:type="character" w:customStyle="1" w:styleId="1Char">
    <w:name w:val="标题 1 Char"/>
    <w:aliases w:val="万研一 Char"/>
    <w:basedOn w:val="a0"/>
    <w:link w:val="1"/>
    <w:uiPriority w:val="9"/>
    <w:rsid w:val="00D71FF7"/>
    <w:rPr>
      <w:rFonts w:ascii="Times New Roman" w:eastAsia="宋体" w:hAnsi="Times New Roman"/>
      <w:b/>
      <w:bCs/>
      <w:kern w:val="44"/>
      <w:sz w:val="28"/>
      <w:szCs w:val="44"/>
    </w:rPr>
  </w:style>
  <w:style w:type="character" w:customStyle="1" w:styleId="2Char">
    <w:name w:val="标题 2 Char"/>
    <w:aliases w:val="万研二 Char"/>
    <w:basedOn w:val="a0"/>
    <w:link w:val="2"/>
    <w:uiPriority w:val="9"/>
    <w:rsid w:val="00D71FF7"/>
    <w:rPr>
      <w:rFonts w:ascii="Times New Roman" w:eastAsiaTheme="majorEastAsia" w:hAnsi="Times New Roman" w:cstheme="majorBidi"/>
      <w:bCs/>
      <w:sz w:val="24"/>
      <w:szCs w:val="32"/>
    </w:rPr>
  </w:style>
  <w:style w:type="character" w:customStyle="1" w:styleId="3Char">
    <w:name w:val="标题 3 Char"/>
    <w:aliases w:val="万研三 Char,万研二级 Char"/>
    <w:basedOn w:val="a0"/>
    <w:link w:val="3"/>
    <w:uiPriority w:val="9"/>
    <w:rsid w:val="00D71FF7"/>
    <w:rPr>
      <w:rFonts w:ascii="Times New Roman" w:eastAsia="宋体" w:hAnsi="Times New Roman"/>
      <w:bCs/>
      <w:sz w:val="24"/>
      <w:szCs w:val="32"/>
    </w:rPr>
  </w:style>
  <w:style w:type="character" w:customStyle="1" w:styleId="4Char">
    <w:name w:val="标题 4 Char"/>
    <w:aliases w:val="万研四 Char"/>
    <w:basedOn w:val="a0"/>
    <w:link w:val="4"/>
    <w:uiPriority w:val="9"/>
    <w:rsid w:val="00D71FF7"/>
    <w:rPr>
      <w:rFonts w:ascii="Times New Roman" w:eastAsiaTheme="majorEastAsia" w:hAnsi="Times New Roman" w:cstheme="majorBidi"/>
      <w:bCs/>
      <w:sz w:val="24"/>
      <w:szCs w:val="28"/>
    </w:rPr>
  </w:style>
  <w:style w:type="table" w:styleId="a8">
    <w:name w:val="Table Grid"/>
    <w:basedOn w:val="a1"/>
    <w:uiPriority w:val="59"/>
    <w:rsid w:val="004052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浅色底纹 - 强调文字颜色 11"/>
    <w:basedOn w:val="a1"/>
    <w:uiPriority w:val="60"/>
    <w:rsid w:val="00656C34"/>
    <w:pPr>
      <w:spacing w:line="240" w:lineRule="auto"/>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footnote text"/>
    <w:basedOn w:val="a"/>
    <w:link w:val="Char3"/>
    <w:semiHidden/>
    <w:rsid w:val="00656C34"/>
    <w:pPr>
      <w:snapToGrid w:val="0"/>
      <w:spacing w:line="240" w:lineRule="auto"/>
      <w:jc w:val="left"/>
    </w:pPr>
    <w:rPr>
      <w:rFonts w:cs="Times New Roman"/>
      <w:sz w:val="18"/>
      <w:szCs w:val="18"/>
    </w:rPr>
  </w:style>
  <w:style w:type="character" w:customStyle="1" w:styleId="Char3">
    <w:name w:val="脚注文本 Char"/>
    <w:basedOn w:val="a0"/>
    <w:link w:val="a9"/>
    <w:semiHidden/>
    <w:rsid w:val="00656C34"/>
    <w:rPr>
      <w:rFonts w:ascii="Times New Roman" w:eastAsia="宋体" w:hAnsi="Times New Roman" w:cs="Times New Roman"/>
      <w:sz w:val="18"/>
      <w:szCs w:val="18"/>
    </w:rPr>
  </w:style>
  <w:style w:type="character" w:styleId="aa">
    <w:name w:val="footnote reference"/>
    <w:basedOn w:val="a0"/>
    <w:semiHidden/>
    <w:rsid w:val="00656C34"/>
    <w:rPr>
      <w:vertAlign w:val="superscript"/>
    </w:rPr>
  </w:style>
  <w:style w:type="paragraph" w:styleId="ab">
    <w:name w:val="Normal (Web)"/>
    <w:basedOn w:val="a"/>
    <w:uiPriority w:val="99"/>
    <w:semiHidden/>
    <w:unhideWhenUsed/>
    <w:rsid w:val="000A3B4A"/>
    <w:pPr>
      <w:widowControl/>
      <w:spacing w:before="100" w:beforeAutospacing="1" w:after="100" w:afterAutospacing="1" w:line="240" w:lineRule="auto"/>
      <w:jc w:val="left"/>
    </w:pPr>
    <w:rPr>
      <w:rFonts w:ascii="宋体" w:hAnsi="宋体" w:cs="宋体"/>
      <w:kern w:val="0"/>
      <w:szCs w:val="24"/>
    </w:rPr>
  </w:style>
  <w:style w:type="paragraph" w:styleId="ac">
    <w:name w:val="caption"/>
    <w:basedOn w:val="a"/>
    <w:next w:val="a"/>
    <w:uiPriority w:val="35"/>
    <w:unhideWhenUsed/>
    <w:qFormat/>
    <w:rsid w:val="00A22F74"/>
    <w:rPr>
      <w:rFonts w:asciiTheme="majorHAnsi" w:eastAsia="黑体" w:hAnsiTheme="majorHAnsi" w:cstheme="majorBidi"/>
      <w:sz w:val="20"/>
      <w:szCs w:val="20"/>
    </w:rPr>
  </w:style>
  <w:style w:type="table" w:styleId="1-2">
    <w:name w:val="Medium Shading 1 Accent 2"/>
    <w:basedOn w:val="a1"/>
    <w:uiPriority w:val="63"/>
    <w:rsid w:val="00A3660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
    <w:name w:val="TOC Heading"/>
    <w:basedOn w:val="1"/>
    <w:next w:val="a"/>
    <w:uiPriority w:val="39"/>
    <w:semiHidden/>
    <w:unhideWhenUsed/>
    <w:qFormat/>
    <w:rsid w:val="002D5EB9"/>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2D5EB9"/>
  </w:style>
  <w:style w:type="paragraph" w:styleId="20">
    <w:name w:val="toc 2"/>
    <w:basedOn w:val="a"/>
    <w:next w:val="a"/>
    <w:autoRedefine/>
    <w:uiPriority w:val="39"/>
    <w:unhideWhenUsed/>
    <w:rsid w:val="002D5EB9"/>
    <w:pPr>
      <w:ind w:leftChars="200" w:left="420"/>
    </w:pPr>
  </w:style>
  <w:style w:type="paragraph" w:styleId="30">
    <w:name w:val="toc 3"/>
    <w:basedOn w:val="a"/>
    <w:next w:val="a"/>
    <w:autoRedefine/>
    <w:uiPriority w:val="39"/>
    <w:unhideWhenUsed/>
    <w:rsid w:val="002D5EB9"/>
    <w:pPr>
      <w:ind w:leftChars="400" w:left="840"/>
    </w:pPr>
  </w:style>
  <w:style w:type="character" w:styleId="ad">
    <w:name w:val="Hyperlink"/>
    <w:uiPriority w:val="99"/>
    <w:unhideWhenUsed/>
    <w:rsid w:val="00660186"/>
    <w:rPr>
      <w:sz w:val="24"/>
      <w:szCs w:val="24"/>
    </w:rPr>
  </w:style>
  <w:style w:type="character" w:styleId="ae">
    <w:name w:val="FollowedHyperlink"/>
    <w:basedOn w:val="a0"/>
    <w:uiPriority w:val="99"/>
    <w:semiHidden/>
    <w:unhideWhenUsed/>
    <w:rsid w:val="000978DD"/>
    <w:rPr>
      <w:color w:val="800080" w:themeColor="followedHyperlink"/>
      <w:u w:val="single"/>
    </w:rPr>
  </w:style>
  <w:style w:type="paragraph" w:styleId="af">
    <w:name w:val="Title"/>
    <w:basedOn w:val="a"/>
    <w:next w:val="a"/>
    <w:link w:val="Char4"/>
    <w:uiPriority w:val="10"/>
    <w:qFormat/>
    <w:rsid w:val="001A3E4B"/>
    <w:pPr>
      <w:spacing w:before="240" w:after="24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1A3E4B"/>
    <w:rPr>
      <w:rFonts w:asciiTheme="majorHAnsi" w:eastAsia="宋体" w:hAnsiTheme="majorHAnsi" w:cstheme="majorBidi"/>
      <w:b/>
      <w:bCs/>
      <w:sz w:val="32"/>
      <w:szCs w:val="32"/>
    </w:rPr>
  </w:style>
  <w:style w:type="character" w:styleId="af0">
    <w:name w:val="Strong"/>
    <w:basedOn w:val="a0"/>
    <w:uiPriority w:val="22"/>
    <w:qFormat/>
    <w:rsid w:val="000A0AD2"/>
    <w:rPr>
      <w:b/>
      <w:bCs/>
    </w:rPr>
  </w:style>
  <w:style w:type="character" w:customStyle="1" w:styleId="apple-converted-space">
    <w:name w:val="apple-converted-space"/>
    <w:basedOn w:val="a0"/>
    <w:rsid w:val="000A0AD2"/>
  </w:style>
  <w:style w:type="character" w:customStyle="1" w:styleId="5Char">
    <w:name w:val="标题 5 Char"/>
    <w:basedOn w:val="a0"/>
    <w:link w:val="5"/>
    <w:uiPriority w:val="9"/>
    <w:rsid w:val="00800111"/>
    <w:rPr>
      <w:rFonts w:ascii="Times New Roman" w:eastAsia="宋体" w:hAnsi="Times New Roman"/>
      <w:b/>
      <w:bCs/>
      <w:kern w:val="0"/>
      <w:sz w:val="24"/>
      <w:szCs w:val="28"/>
    </w:rPr>
  </w:style>
</w:styles>
</file>

<file path=word/webSettings.xml><?xml version="1.0" encoding="utf-8"?>
<w:webSettings xmlns:r="http://schemas.openxmlformats.org/officeDocument/2006/relationships" xmlns:w="http://schemas.openxmlformats.org/wordprocessingml/2006/main">
  <w:divs>
    <w:div w:id="463548415">
      <w:bodyDiv w:val="1"/>
      <w:marLeft w:val="0"/>
      <w:marRight w:val="0"/>
      <w:marTop w:val="0"/>
      <w:marBottom w:val="0"/>
      <w:divBdr>
        <w:top w:val="none" w:sz="0" w:space="0" w:color="auto"/>
        <w:left w:val="none" w:sz="0" w:space="0" w:color="auto"/>
        <w:bottom w:val="none" w:sz="0" w:space="0" w:color="auto"/>
        <w:right w:val="none" w:sz="0" w:space="0" w:color="auto"/>
      </w:divBdr>
    </w:div>
    <w:div w:id="667555754">
      <w:bodyDiv w:val="1"/>
      <w:marLeft w:val="0"/>
      <w:marRight w:val="0"/>
      <w:marTop w:val="0"/>
      <w:marBottom w:val="0"/>
      <w:divBdr>
        <w:top w:val="none" w:sz="0" w:space="0" w:color="auto"/>
        <w:left w:val="none" w:sz="0" w:space="0" w:color="auto"/>
        <w:bottom w:val="none" w:sz="0" w:space="0" w:color="auto"/>
        <w:right w:val="none" w:sz="0" w:space="0" w:color="auto"/>
      </w:divBdr>
    </w:div>
    <w:div w:id="881291243">
      <w:bodyDiv w:val="1"/>
      <w:marLeft w:val="0"/>
      <w:marRight w:val="0"/>
      <w:marTop w:val="0"/>
      <w:marBottom w:val="0"/>
      <w:divBdr>
        <w:top w:val="none" w:sz="0" w:space="0" w:color="auto"/>
        <w:left w:val="none" w:sz="0" w:space="0" w:color="auto"/>
        <w:bottom w:val="none" w:sz="0" w:space="0" w:color="auto"/>
        <w:right w:val="none" w:sz="0" w:space="0" w:color="auto"/>
      </w:divBdr>
    </w:div>
    <w:div w:id="980235558">
      <w:bodyDiv w:val="1"/>
      <w:marLeft w:val="0"/>
      <w:marRight w:val="0"/>
      <w:marTop w:val="0"/>
      <w:marBottom w:val="0"/>
      <w:divBdr>
        <w:top w:val="none" w:sz="0" w:space="0" w:color="auto"/>
        <w:left w:val="none" w:sz="0" w:space="0" w:color="auto"/>
        <w:bottom w:val="none" w:sz="0" w:space="0" w:color="auto"/>
        <w:right w:val="none" w:sz="0" w:space="0" w:color="auto"/>
      </w:divBdr>
    </w:div>
    <w:div w:id="1037898834">
      <w:bodyDiv w:val="1"/>
      <w:marLeft w:val="0"/>
      <w:marRight w:val="0"/>
      <w:marTop w:val="0"/>
      <w:marBottom w:val="0"/>
      <w:divBdr>
        <w:top w:val="none" w:sz="0" w:space="0" w:color="auto"/>
        <w:left w:val="none" w:sz="0" w:space="0" w:color="auto"/>
        <w:bottom w:val="none" w:sz="0" w:space="0" w:color="auto"/>
        <w:right w:val="none" w:sz="0" w:space="0" w:color="auto"/>
      </w:divBdr>
    </w:div>
    <w:div w:id="1375422969">
      <w:bodyDiv w:val="1"/>
      <w:marLeft w:val="0"/>
      <w:marRight w:val="0"/>
      <w:marTop w:val="0"/>
      <w:marBottom w:val="0"/>
      <w:divBdr>
        <w:top w:val="none" w:sz="0" w:space="0" w:color="auto"/>
        <w:left w:val="none" w:sz="0" w:space="0" w:color="auto"/>
        <w:bottom w:val="none" w:sz="0" w:space="0" w:color="auto"/>
        <w:right w:val="none" w:sz="0" w:space="0" w:color="auto"/>
      </w:divBdr>
    </w:div>
    <w:div w:id="1535079221">
      <w:bodyDiv w:val="1"/>
      <w:marLeft w:val="0"/>
      <w:marRight w:val="0"/>
      <w:marTop w:val="0"/>
      <w:marBottom w:val="0"/>
      <w:divBdr>
        <w:top w:val="none" w:sz="0" w:space="0" w:color="auto"/>
        <w:left w:val="none" w:sz="0" w:space="0" w:color="auto"/>
        <w:bottom w:val="none" w:sz="0" w:space="0" w:color="auto"/>
        <w:right w:val="none" w:sz="0" w:space="0" w:color="auto"/>
      </w:divBdr>
    </w:div>
    <w:div w:id="1653025231">
      <w:bodyDiv w:val="1"/>
      <w:marLeft w:val="0"/>
      <w:marRight w:val="0"/>
      <w:marTop w:val="0"/>
      <w:marBottom w:val="0"/>
      <w:divBdr>
        <w:top w:val="none" w:sz="0" w:space="0" w:color="auto"/>
        <w:left w:val="none" w:sz="0" w:space="0" w:color="auto"/>
        <w:bottom w:val="none" w:sz="0" w:space="0" w:color="auto"/>
        <w:right w:val="none" w:sz="0" w:space="0" w:color="auto"/>
      </w:divBdr>
      <w:divsChild>
        <w:div w:id="2096782602">
          <w:marLeft w:val="0"/>
          <w:marRight w:val="0"/>
          <w:marTop w:val="0"/>
          <w:marBottom w:val="0"/>
          <w:divBdr>
            <w:top w:val="none" w:sz="0" w:space="0" w:color="auto"/>
            <w:left w:val="none" w:sz="0" w:space="0" w:color="auto"/>
            <w:bottom w:val="none" w:sz="0" w:space="0" w:color="auto"/>
            <w:right w:val="none" w:sz="0" w:space="0" w:color="auto"/>
          </w:divBdr>
        </w:div>
        <w:div w:id="1595555071">
          <w:marLeft w:val="0"/>
          <w:marRight w:val="0"/>
          <w:marTop w:val="0"/>
          <w:marBottom w:val="0"/>
          <w:divBdr>
            <w:top w:val="none" w:sz="0" w:space="0" w:color="auto"/>
            <w:left w:val="none" w:sz="0" w:space="0" w:color="auto"/>
            <w:bottom w:val="none" w:sz="0" w:space="0" w:color="auto"/>
            <w:right w:val="none" w:sz="0" w:space="0" w:color="auto"/>
          </w:divBdr>
        </w:div>
        <w:div w:id="413362452">
          <w:marLeft w:val="0"/>
          <w:marRight w:val="0"/>
          <w:marTop w:val="0"/>
          <w:marBottom w:val="0"/>
          <w:divBdr>
            <w:top w:val="none" w:sz="0" w:space="0" w:color="auto"/>
            <w:left w:val="none" w:sz="0" w:space="0" w:color="auto"/>
            <w:bottom w:val="none" w:sz="0" w:space="0" w:color="auto"/>
            <w:right w:val="none" w:sz="0" w:space="0" w:color="auto"/>
          </w:divBdr>
        </w:div>
        <w:div w:id="1376660481">
          <w:marLeft w:val="0"/>
          <w:marRight w:val="0"/>
          <w:marTop w:val="0"/>
          <w:marBottom w:val="0"/>
          <w:divBdr>
            <w:top w:val="none" w:sz="0" w:space="0" w:color="auto"/>
            <w:left w:val="none" w:sz="0" w:space="0" w:color="auto"/>
            <w:bottom w:val="none" w:sz="0" w:space="0" w:color="auto"/>
            <w:right w:val="none" w:sz="0" w:space="0" w:color="auto"/>
          </w:divBdr>
        </w:div>
        <w:div w:id="837114516">
          <w:marLeft w:val="0"/>
          <w:marRight w:val="0"/>
          <w:marTop w:val="0"/>
          <w:marBottom w:val="0"/>
          <w:divBdr>
            <w:top w:val="none" w:sz="0" w:space="0" w:color="auto"/>
            <w:left w:val="none" w:sz="0" w:space="0" w:color="auto"/>
            <w:bottom w:val="none" w:sz="0" w:space="0" w:color="auto"/>
            <w:right w:val="none" w:sz="0" w:space="0" w:color="auto"/>
          </w:divBdr>
        </w:div>
        <w:div w:id="281890278">
          <w:marLeft w:val="0"/>
          <w:marRight w:val="0"/>
          <w:marTop w:val="0"/>
          <w:marBottom w:val="0"/>
          <w:divBdr>
            <w:top w:val="none" w:sz="0" w:space="0" w:color="auto"/>
            <w:left w:val="none" w:sz="0" w:space="0" w:color="auto"/>
            <w:bottom w:val="none" w:sz="0" w:space="0" w:color="auto"/>
            <w:right w:val="none" w:sz="0" w:space="0" w:color="auto"/>
          </w:divBdr>
        </w:div>
        <w:div w:id="229927932">
          <w:marLeft w:val="0"/>
          <w:marRight w:val="0"/>
          <w:marTop w:val="0"/>
          <w:marBottom w:val="0"/>
          <w:divBdr>
            <w:top w:val="none" w:sz="0" w:space="0" w:color="auto"/>
            <w:left w:val="none" w:sz="0" w:space="0" w:color="auto"/>
            <w:bottom w:val="none" w:sz="0" w:space="0" w:color="auto"/>
            <w:right w:val="none" w:sz="0" w:space="0" w:color="auto"/>
          </w:divBdr>
        </w:div>
        <w:div w:id="1277444990">
          <w:marLeft w:val="0"/>
          <w:marRight w:val="0"/>
          <w:marTop w:val="0"/>
          <w:marBottom w:val="0"/>
          <w:divBdr>
            <w:top w:val="none" w:sz="0" w:space="0" w:color="auto"/>
            <w:left w:val="none" w:sz="0" w:space="0" w:color="auto"/>
            <w:bottom w:val="none" w:sz="0" w:space="0" w:color="auto"/>
            <w:right w:val="none" w:sz="0" w:space="0" w:color="auto"/>
          </w:divBdr>
        </w:div>
        <w:div w:id="1220677451">
          <w:marLeft w:val="0"/>
          <w:marRight w:val="0"/>
          <w:marTop w:val="0"/>
          <w:marBottom w:val="0"/>
          <w:divBdr>
            <w:top w:val="none" w:sz="0" w:space="0" w:color="auto"/>
            <w:left w:val="none" w:sz="0" w:space="0" w:color="auto"/>
            <w:bottom w:val="none" w:sz="0" w:space="0" w:color="auto"/>
            <w:right w:val="none" w:sz="0" w:space="0" w:color="auto"/>
          </w:divBdr>
        </w:div>
        <w:div w:id="1027489182">
          <w:marLeft w:val="0"/>
          <w:marRight w:val="0"/>
          <w:marTop w:val="0"/>
          <w:marBottom w:val="0"/>
          <w:divBdr>
            <w:top w:val="none" w:sz="0" w:space="0" w:color="auto"/>
            <w:left w:val="none" w:sz="0" w:space="0" w:color="auto"/>
            <w:bottom w:val="none" w:sz="0" w:space="0" w:color="auto"/>
            <w:right w:val="none" w:sz="0" w:space="0" w:color="auto"/>
          </w:divBdr>
        </w:div>
        <w:div w:id="2065792964">
          <w:marLeft w:val="0"/>
          <w:marRight w:val="0"/>
          <w:marTop w:val="0"/>
          <w:marBottom w:val="0"/>
          <w:divBdr>
            <w:top w:val="none" w:sz="0" w:space="0" w:color="auto"/>
            <w:left w:val="none" w:sz="0" w:space="0" w:color="auto"/>
            <w:bottom w:val="none" w:sz="0" w:space="0" w:color="auto"/>
            <w:right w:val="none" w:sz="0" w:space="0" w:color="auto"/>
          </w:divBdr>
        </w:div>
        <w:div w:id="1085614405">
          <w:marLeft w:val="0"/>
          <w:marRight w:val="0"/>
          <w:marTop w:val="0"/>
          <w:marBottom w:val="0"/>
          <w:divBdr>
            <w:top w:val="none" w:sz="0" w:space="0" w:color="auto"/>
            <w:left w:val="none" w:sz="0" w:space="0" w:color="auto"/>
            <w:bottom w:val="none" w:sz="0" w:space="0" w:color="auto"/>
            <w:right w:val="none" w:sz="0" w:space="0" w:color="auto"/>
          </w:divBdr>
        </w:div>
        <w:div w:id="1068461914">
          <w:marLeft w:val="0"/>
          <w:marRight w:val="0"/>
          <w:marTop w:val="0"/>
          <w:marBottom w:val="0"/>
          <w:divBdr>
            <w:top w:val="none" w:sz="0" w:space="0" w:color="auto"/>
            <w:left w:val="none" w:sz="0" w:space="0" w:color="auto"/>
            <w:bottom w:val="none" w:sz="0" w:space="0" w:color="auto"/>
            <w:right w:val="none" w:sz="0" w:space="0" w:color="auto"/>
          </w:divBdr>
        </w:div>
        <w:div w:id="2097549378">
          <w:marLeft w:val="0"/>
          <w:marRight w:val="0"/>
          <w:marTop w:val="0"/>
          <w:marBottom w:val="0"/>
          <w:divBdr>
            <w:top w:val="none" w:sz="0" w:space="0" w:color="auto"/>
            <w:left w:val="none" w:sz="0" w:space="0" w:color="auto"/>
            <w:bottom w:val="none" w:sz="0" w:space="0" w:color="auto"/>
            <w:right w:val="none" w:sz="0" w:space="0" w:color="auto"/>
          </w:divBdr>
        </w:div>
        <w:div w:id="1225993076">
          <w:marLeft w:val="0"/>
          <w:marRight w:val="0"/>
          <w:marTop w:val="0"/>
          <w:marBottom w:val="0"/>
          <w:divBdr>
            <w:top w:val="none" w:sz="0" w:space="0" w:color="auto"/>
            <w:left w:val="none" w:sz="0" w:space="0" w:color="auto"/>
            <w:bottom w:val="none" w:sz="0" w:space="0" w:color="auto"/>
            <w:right w:val="none" w:sz="0" w:space="0" w:color="auto"/>
          </w:divBdr>
        </w:div>
        <w:div w:id="638802421">
          <w:marLeft w:val="0"/>
          <w:marRight w:val="0"/>
          <w:marTop w:val="0"/>
          <w:marBottom w:val="0"/>
          <w:divBdr>
            <w:top w:val="none" w:sz="0" w:space="0" w:color="auto"/>
            <w:left w:val="none" w:sz="0" w:space="0" w:color="auto"/>
            <w:bottom w:val="none" w:sz="0" w:space="0" w:color="auto"/>
            <w:right w:val="none" w:sz="0" w:space="0" w:color="auto"/>
          </w:divBdr>
        </w:div>
        <w:div w:id="664674892">
          <w:marLeft w:val="0"/>
          <w:marRight w:val="0"/>
          <w:marTop w:val="0"/>
          <w:marBottom w:val="0"/>
          <w:divBdr>
            <w:top w:val="none" w:sz="0" w:space="0" w:color="auto"/>
            <w:left w:val="none" w:sz="0" w:space="0" w:color="auto"/>
            <w:bottom w:val="none" w:sz="0" w:space="0" w:color="auto"/>
            <w:right w:val="none" w:sz="0" w:space="0" w:color="auto"/>
          </w:divBdr>
        </w:div>
        <w:div w:id="1462846763">
          <w:marLeft w:val="0"/>
          <w:marRight w:val="0"/>
          <w:marTop w:val="0"/>
          <w:marBottom w:val="0"/>
          <w:divBdr>
            <w:top w:val="none" w:sz="0" w:space="0" w:color="auto"/>
            <w:left w:val="none" w:sz="0" w:space="0" w:color="auto"/>
            <w:bottom w:val="none" w:sz="0" w:space="0" w:color="auto"/>
            <w:right w:val="none" w:sz="0" w:space="0" w:color="auto"/>
          </w:divBdr>
        </w:div>
        <w:div w:id="400250905">
          <w:marLeft w:val="0"/>
          <w:marRight w:val="0"/>
          <w:marTop w:val="0"/>
          <w:marBottom w:val="0"/>
          <w:divBdr>
            <w:top w:val="none" w:sz="0" w:space="0" w:color="auto"/>
            <w:left w:val="none" w:sz="0" w:space="0" w:color="auto"/>
            <w:bottom w:val="none" w:sz="0" w:space="0" w:color="auto"/>
            <w:right w:val="none" w:sz="0" w:space="0" w:color="auto"/>
          </w:divBdr>
        </w:div>
        <w:div w:id="1621187377">
          <w:marLeft w:val="0"/>
          <w:marRight w:val="0"/>
          <w:marTop w:val="0"/>
          <w:marBottom w:val="0"/>
          <w:divBdr>
            <w:top w:val="none" w:sz="0" w:space="0" w:color="auto"/>
            <w:left w:val="none" w:sz="0" w:space="0" w:color="auto"/>
            <w:bottom w:val="none" w:sz="0" w:space="0" w:color="auto"/>
            <w:right w:val="none" w:sz="0" w:space="0" w:color="auto"/>
          </w:divBdr>
        </w:div>
        <w:div w:id="2069379770">
          <w:marLeft w:val="0"/>
          <w:marRight w:val="0"/>
          <w:marTop w:val="0"/>
          <w:marBottom w:val="0"/>
          <w:divBdr>
            <w:top w:val="none" w:sz="0" w:space="0" w:color="auto"/>
            <w:left w:val="none" w:sz="0" w:space="0" w:color="auto"/>
            <w:bottom w:val="none" w:sz="0" w:space="0" w:color="auto"/>
            <w:right w:val="none" w:sz="0" w:space="0" w:color="auto"/>
          </w:divBdr>
        </w:div>
        <w:div w:id="346758267">
          <w:marLeft w:val="0"/>
          <w:marRight w:val="0"/>
          <w:marTop w:val="0"/>
          <w:marBottom w:val="0"/>
          <w:divBdr>
            <w:top w:val="none" w:sz="0" w:space="0" w:color="auto"/>
            <w:left w:val="none" w:sz="0" w:space="0" w:color="auto"/>
            <w:bottom w:val="none" w:sz="0" w:space="0" w:color="auto"/>
            <w:right w:val="none" w:sz="0" w:space="0" w:color="auto"/>
          </w:divBdr>
        </w:div>
        <w:div w:id="414940032">
          <w:marLeft w:val="0"/>
          <w:marRight w:val="0"/>
          <w:marTop w:val="0"/>
          <w:marBottom w:val="0"/>
          <w:divBdr>
            <w:top w:val="none" w:sz="0" w:space="0" w:color="auto"/>
            <w:left w:val="none" w:sz="0" w:space="0" w:color="auto"/>
            <w:bottom w:val="none" w:sz="0" w:space="0" w:color="auto"/>
            <w:right w:val="none" w:sz="0" w:space="0" w:color="auto"/>
          </w:divBdr>
        </w:div>
        <w:div w:id="406004847">
          <w:marLeft w:val="0"/>
          <w:marRight w:val="0"/>
          <w:marTop w:val="0"/>
          <w:marBottom w:val="0"/>
          <w:divBdr>
            <w:top w:val="none" w:sz="0" w:space="0" w:color="auto"/>
            <w:left w:val="none" w:sz="0" w:space="0" w:color="auto"/>
            <w:bottom w:val="none" w:sz="0" w:space="0" w:color="auto"/>
            <w:right w:val="none" w:sz="0" w:space="0" w:color="auto"/>
          </w:divBdr>
        </w:div>
        <w:div w:id="1095594310">
          <w:marLeft w:val="0"/>
          <w:marRight w:val="0"/>
          <w:marTop w:val="0"/>
          <w:marBottom w:val="0"/>
          <w:divBdr>
            <w:top w:val="none" w:sz="0" w:space="0" w:color="auto"/>
            <w:left w:val="none" w:sz="0" w:space="0" w:color="auto"/>
            <w:bottom w:val="none" w:sz="0" w:space="0" w:color="auto"/>
            <w:right w:val="none" w:sz="0" w:space="0" w:color="auto"/>
          </w:divBdr>
        </w:div>
        <w:div w:id="682054445">
          <w:marLeft w:val="0"/>
          <w:marRight w:val="0"/>
          <w:marTop w:val="0"/>
          <w:marBottom w:val="0"/>
          <w:divBdr>
            <w:top w:val="none" w:sz="0" w:space="0" w:color="auto"/>
            <w:left w:val="none" w:sz="0" w:space="0" w:color="auto"/>
            <w:bottom w:val="none" w:sz="0" w:space="0" w:color="auto"/>
            <w:right w:val="none" w:sz="0" w:space="0" w:color="auto"/>
          </w:divBdr>
        </w:div>
        <w:div w:id="80372944">
          <w:marLeft w:val="0"/>
          <w:marRight w:val="0"/>
          <w:marTop w:val="0"/>
          <w:marBottom w:val="0"/>
          <w:divBdr>
            <w:top w:val="none" w:sz="0" w:space="0" w:color="auto"/>
            <w:left w:val="none" w:sz="0" w:space="0" w:color="auto"/>
            <w:bottom w:val="none" w:sz="0" w:space="0" w:color="auto"/>
            <w:right w:val="none" w:sz="0" w:space="0" w:color="auto"/>
          </w:divBdr>
        </w:div>
        <w:div w:id="756823759">
          <w:marLeft w:val="0"/>
          <w:marRight w:val="0"/>
          <w:marTop w:val="0"/>
          <w:marBottom w:val="0"/>
          <w:divBdr>
            <w:top w:val="none" w:sz="0" w:space="0" w:color="auto"/>
            <w:left w:val="none" w:sz="0" w:space="0" w:color="auto"/>
            <w:bottom w:val="none" w:sz="0" w:space="0" w:color="auto"/>
            <w:right w:val="none" w:sz="0" w:space="0" w:color="auto"/>
          </w:divBdr>
        </w:div>
        <w:div w:id="821584039">
          <w:marLeft w:val="0"/>
          <w:marRight w:val="0"/>
          <w:marTop w:val="0"/>
          <w:marBottom w:val="0"/>
          <w:divBdr>
            <w:top w:val="none" w:sz="0" w:space="0" w:color="auto"/>
            <w:left w:val="none" w:sz="0" w:space="0" w:color="auto"/>
            <w:bottom w:val="none" w:sz="0" w:space="0" w:color="auto"/>
            <w:right w:val="none" w:sz="0" w:space="0" w:color="auto"/>
          </w:divBdr>
        </w:div>
        <w:div w:id="134684824">
          <w:marLeft w:val="0"/>
          <w:marRight w:val="0"/>
          <w:marTop w:val="0"/>
          <w:marBottom w:val="0"/>
          <w:divBdr>
            <w:top w:val="none" w:sz="0" w:space="0" w:color="auto"/>
            <w:left w:val="none" w:sz="0" w:space="0" w:color="auto"/>
            <w:bottom w:val="none" w:sz="0" w:space="0" w:color="auto"/>
            <w:right w:val="none" w:sz="0" w:space="0" w:color="auto"/>
          </w:divBdr>
        </w:div>
        <w:div w:id="192887741">
          <w:marLeft w:val="0"/>
          <w:marRight w:val="0"/>
          <w:marTop w:val="0"/>
          <w:marBottom w:val="0"/>
          <w:divBdr>
            <w:top w:val="none" w:sz="0" w:space="0" w:color="auto"/>
            <w:left w:val="none" w:sz="0" w:space="0" w:color="auto"/>
            <w:bottom w:val="none" w:sz="0" w:space="0" w:color="auto"/>
            <w:right w:val="none" w:sz="0" w:space="0" w:color="auto"/>
          </w:divBdr>
        </w:div>
        <w:div w:id="1740322661">
          <w:marLeft w:val="0"/>
          <w:marRight w:val="0"/>
          <w:marTop w:val="0"/>
          <w:marBottom w:val="0"/>
          <w:divBdr>
            <w:top w:val="none" w:sz="0" w:space="0" w:color="auto"/>
            <w:left w:val="none" w:sz="0" w:space="0" w:color="auto"/>
            <w:bottom w:val="none" w:sz="0" w:space="0" w:color="auto"/>
            <w:right w:val="none" w:sz="0" w:space="0" w:color="auto"/>
          </w:divBdr>
        </w:div>
        <w:div w:id="953249811">
          <w:marLeft w:val="0"/>
          <w:marRight w:val="0"/>
          <w:marTop w:val="0"/>
          <w:marBottom w:val="0"/>
          <w:divBdr>
            <w:top w:val="none" w:sz="0" w:space="0" w:color="auto"/>
            <w:left w:val="none" w:sz="0" w:space="0" w:color="auto"/>
            <w:bottom w:val="none" w:sz="0" w:space="0" w:color="auto"/>
            <w:right w:val="none" w:sz="0" w:space="0" w:color="auto"/>
          </w:divBdr>
        </w:div>
        <w:div w:id="606353535">
          <w:marLeft w:val="0"/>
          <w:marRight w:val="0"/>
          <w:marTop w:val="0"/>
          <w:marBottom w:val="0"/>
          <w:divBdr>
            <w:top w:val="none" w:sz="0" w:space="0" w:color="auto"/>
            <w:left w:val="none" w:sz="0" w:space="0" w:color="auto"/>
            <w:bottom w:val="none" w:sz="0" w:space="0" w:color="auto"/>
            <w:right w:val="none" w:sz="0" w:space="0" w:color="auto"/>
          </w:divBdr>
        </w:div>
        <w:div w:id="2069185515">
          <w:marLeft w:val="0"/>
          <w:marRight w:val="0"/>
          <w:marTop w:val="0"/>
          <w:marBottom w:val="0"/>
          <w:divBdr>
            <w:top w:val="none" w:sz="0" w:space="0" w:color="auto"/>
            <w:left w:val="none" w:sz="0" w:space="0" w:color="auto"/>
            <w:bottom w:val="none" w:sz="0" w:space="0" w:color="auto"/>
            <w:right w:val="none" w:sz="0" w:space="0" w:color="auto"/>
          </w:divBdr>
        </w:div>
        <w:div w:id="458188898">
          <w:marLeft w:val="0"/>
          <w:marRight w:val="0"/>
          <w:marTop w:val="0"/>
          <w:marBottom w:val="0"/>
          <w:divBdr>
            <w:top w:val="none" w:sz="0" w:space="0" w:color="auto"/>
            <w:left w:val="none" w:sz="0" w:space="0" w:color="auto"/>
            <w:bottom w:val="none" w:sz="0" w:space="0" w:color="auto"/>
            <w:right w:val="none" w:sz="0" w:space="0" w:color="auto"/>
          </w:divBdr>
        </w:div>
        <w:div w:id="377820515">
          <w:marLeft w:val="0"/>
          <w:marRight w:val="0"/>
          <w:marTop w:val="0"/>
          <w:marBottom w:val="0"/>
          <w:divBdr>
            <w:top w:val="none" w:sz="0" w:space="0" w:color="auto"/>
            <w:left w:val="none" w:sz="0" w:space="0" w:color="auto"/>
            <w:bottom w:val="none" w:sz="0" w:space="0" w:color="auto"/>
            <w:right w:val="none" w:sz="0" w:space="0" w:color="auto"/>
          </w:divBdr>
        </w:div>
        <w:div w:id="1964991845">
          <w:marLeft w:val="0"/>
          <w:marRight w:val="0"/>
          <w:marTop w:val="0"/>
          <w:marBottom w:val="0"/>
          <w:divBdr>
            <w:top w:val="none" w:sz="0" w:space="0" w:color="auto"/>
            <w:left w:val="none" w:sz="0" w:space="0" w:color="auto"/>
            <w:bottom w:val="none" w:sz="0" w:space="0" w:color="auto"/>
            <w:right w:val="none" w:sz="0" w:space="0" w:color="auto"/>
          </w:divBdr>
        </w:div>
        <w:div w:id="1810855141">
          <w:marLeft w:val="0"/>
          <w:marRight w:val="0"/>
          <w:marTop w:val="0"/>
          <w:marBottom w:val="0"/>
          <w:divBdr>
            <w:top w:val="none" w:sz="0" w:space="0" w:color="auto"/>
            <w:left w:val="none" w:sz="0" w:space="0" w:color="auto"/>
            <w:bottom w:val="none" w:sz="0" w:space="0" w:color="auto"/>
            <w:right w:val="none" w:sz="0" w:space="0" w:color="auto"/>
          </w:divBdr>
        </w:div>
        <w:div w:id="409546596">
          <w:marLeft w:val="0"/>
          <w:marRight w:val="0"/>
          <w:marTop w:val="0"/>
          <w:marBottom w:val="0"/>
          <w:divBdr>
            <w:top w:val="none" w:sz="0" w:space="0" w:color="auto"/>
            <w:left w:val="none" w:sz="0" w:space="0" w:color="auto"/>
            <w:bottom w:val="none" w:sz="0" w:space="0" w:color="auto"/>
            <w:right w:val="none" w:sz="0" w:space="0" w:color="auto"/>
          </w:divBdr>
        </w:div>
        <w:div w:id="780732834">
          <w:marLeft w:val="0"/>
          <w:marRight w:val="0"/>
          <w:marTop w:val="0"/>
          <w:marBottom w:val="120"/>
          <w:divBdr>
            <w:top w:val="none" w:sz="0" w:space="0" w:color="auto"/>
            <w:left w:val="none" w:sz="0" w:space="0" w:color="auto"/>
            <w:bottom w:val="none" w:sz="0" w:space="0" w:color="auto"/>
            <w:right w:val="none" w:sz="0" w:space="0" w:color="auto"/>
          </w:divBdr>
        </w:div>
        <w:div w:id="62411919">
          <w:marLeft w:val="0"/>
          <w:marRight w:val="0"/>
          <w:marTop w:val="0"/>
          <w:marBottom w:val="120"/>
          <w:divBdr>
            <w:top w:val="none" w:sz="0" w:space="0" w:color="auto"/>
            <w:left w:val="none" w:sz="0" w:space="0" w:color="auto"/>
            <w:bottom w:val="none" w:sz="0" w:space="0" w:color="auto"/>
            <w:right w:val="none" w:sz="0" w:space="0" w:color="auto"/>
          </w:divBdr>
        </w:div>
        <w:div w:id="104158280">
          <w:marLeft w:val="0"/>
          <w:marRight w:val="0"/>
          <w:marTop w:val="0"/>
          <w:marBottom w:val="120"/>
          <w:divBdr>
            <w:top w:val="none" w:sz="0" w:space="0" w:color="auto"/>
            <w:left w:val="none" w:sz="0" w:space="0" w:color="auto"/>
            <w:bottom w:val="none" w:sz="0" w:space="0" w:color="auto"/>
            <w:right w:val="none" w:sz="0" w:space="0" w:color="auto"/>
          </w:divBdr>
        </w:div>
        <w:div w:id="2135055267">
          <w:marLeft w:val="0"/>
          <w:marRight w:val="0"/>
          <w:marTop w:val="0"/>
          <w:marBottom w:val="120"/>
          <w:divBdr>
            <w:top w:val="none" w:sz="0" w:space="0" w:color="auto"/>
            <w:left w:val="none" w:sz="0" w:space="0" w:color="auto"/>
            <w:bottom w:val="none" w:sz="0" w:space="0" w:color="auto"/>
            <w:right w:val="none" w:sz="0" w:space="0" w:color="auto"/>
          </w:divBdr>
        </w:div>
        <w:div w:id="488404901">
          <w:marLeft w:val="0"/>
          <w:marRight w:val="0"/>
          <w:marTop w:val="0"/>
          <w:marBottom w:val="120"/>
          <w:divBdr>
            <w:top w:val="none" w:sz="0" w:space="0" w:color="auto"/>
            <w:left w:val="none" w:sz="0" w:space="0" w:color="auto"/>
            <w:bottom w:val="none" w:sz="0" w:space="0" w:color="auto"/>
            <w:right w:val="none" w:sz="0" w:space="0" w:color="auto"/>
          </w:divBdr>
        </w:div>
        <w:div w:id="281305286">
          <w:marLeft w:val="0"/>
          <w:marRight w:val="0"/>
          <w:marTop w:val="0"/>
          <w:marBottom w:val="120"/>
          <w:divBdr>
            <w:top w:val="none" w:sz="0" w:space="0" w:color="auto"/>
            <w:left w:val="none" w:sz="0" w:space="0" w:color="auto"/>
            <w:bottom w:val="none" w:sz="0" w:space="0" w:color="auto"/>
            <w:right w:val="none" w:sz="0" w:space="0" w:color="auto"/>
          </w:divBdr>
        </w:div>
        <w:div w:id="1041907324">
          <w:marLeft w:val="0"/>
          <w:marRight w:val="0"/>
          <w:marTop w:val="0"/>
          <w:marBottom w:val="0"/>
          <w:divBdr>
            <w:top w:val="none" w:sz="0" w:space="0" w:color="auto"/>
            <w:left w:val="none" w:sz="0" w:space="0" w:color="auto"/>
            <w:bottom w:val="none" w:sz="0" w:space="0" w:color="auto"/>
            <w:right w:val="none" w:sz="0" w:space="0" w:color="auto"/>
          </w:divBdr>
        </w:div>
        <w:div w:id="780539435">
          <w:marLeft w:val="0"/>
          <w:marRight w:val="0"/>
          <w:marTop w:val="0"/>
          <w:marBottom w:val="0"/>
          <w:divBdr>
            <w:top w:val="none" w:sz="0" w:space="0" w:color="auto"/>
            <w:left w:val="none" w:sz="0" w:space="0" w:color="auto"/>
            <w:bottom w:val="none" w:sz="0" w:space="0" w:color="auto"/>
            <w:right w:val="none" w:sz="0" w:space="0" w:color="auto"/>
          </w:divBdr>
        </w:div>
        <w:div w:id="26877044">
          <w:marLeft w:val="0"/>
          <w:marRight w:val="0"/>
          <w:marTop w:val="0"/>
          <w:marBottom w:val="0"/>
          <w:divBdr>
            <w:top w:val="none" w:sz="0" w:space="0" w:color="auto"/>
            <w:left w:val="none" w:sz="0" w:space="0" w:color="auto"/>
            <w:bottom w:val="none" w:sz="0" w:space="0" w:color="auto"/>
            <w:right w:val="none" w:sz="0" w:space="0" w:color="auto"/>
          </w:divBdr>
        </w:div>
        <w:div w:id="696582342">
          <w:marLeft w:val="0"/>
          <w:marRight w:val="0"/>
          <w:marTop w:val="0"/>
          <w:marBottom w:val="0"/>
          <w:divBdr>
            <w:top w:val="none" w:sz="0" w:space="0" w:color="auto"/>
            <w:left w:val="none" w:sz="0" w:space="0" w:color="auto"/>
            <w:bottom w:val="none" w:sz="0" w:space="0" w:color="auto"/>
            <w:right w:val="none" w:sz="0" w:space="0" w:color="auto"/>
          </w:divBdr>
        </w:div>
        <w:div w:id="1172186093">
          <w:marLeft w:val="0"/>
          <w:marRight w:val="0"/>
          <w:marTop w:val="0"/>
          <w:marBottom w:val="0"/>
          <w:divBdr>
            <w:top w:val="none" w:sz="0" w:space="0" w:color="auto"/>
            <w:left w:val="none" w:sz="0" w:space="0" w:color="auto"/>
            <w:bottom w:val="none" w:sz="0" w:space="0" w:color="auto"/>
            <w:right w:val="none" w:sz="0" w:space="0" w:color="auto"/>
          </w:divBdr>
        </w:div>
        <w:div w:id="1544562295">
          <w:marLeft w:val="0"/>
          <w:marRight w:val="0"/>
          <w:marTop w:val="0"/>
          <w:marBottom w:val="0"/>
          <w:divBdr>
            <w:top w:val="none" w:sz="0" w:space="0" w:color="auto"/>
            <w:left w:val="none" w:sz="0" w:space="0" w:color="auto"/>
            <w:bottom w:val="none" w:sz="0" w:space="0" w:color="auto"/>
            <w:right w:val="none" w:sz="0" w:space="0" w:color="auto"/>
          </w:divBdr>
        </w:div>
        <w:div w:id="635909574">
          <w:marLeft w:val="0"/>
          <w:marRight w:val="0"/>
          <w:marTop w:val="0"/>
          <w:marBottom w:val="0"/>
          <w:divBdr>
            <w:top w:val="none" w:sz="0" w:space="0" w:color="auto"/>
            <w:left w:val="none" w:sz="0" w:space="0" w:color="auto"/>
            <w:bottom w:val="none" w:sz="0" w:space="0" w:color="auto"/>
            <w:right w:val="none" w:sz="0" w:space="0" w:color="auto"/>
          </w:divBdr>
        </w:div>
        <w:div w:id="306672067">
          <w:marLeft w:val="0"/>
          <w:marRight w:val="0"/>
          <w:marTop w:val="0"/>
          <w:marBottom w:val="0"/>
          <w:divBdr>
            <w:top w:val="none" w:sz="0" w:space="0" w:color="auto"/>
            <w:left w:val="none" w:sz="0" w:space="0" w:color="auto"/>
            <w:bottom w:val="none" w:sz="0" w:space="0" w:color="auto"/>
            <w:right w:val="none" w:sz="0" w:space="0" w:color="auto"/>
          </w:divBdr>
        </w:div>
        <w:div w:id="1656568740">
          <w:marLeft w:val="0"/>
          <w:marRight w:val="0"/>
          <w:marTop w:val="0"/>
          <w:marBottom w:val="0"/>
          <w:divBdr>
            <w:top w:val="none" w:sz="0" w:space="0" w:color="auto"/>
            <w:left w:val="none" w:sz="0" w:space="0" w:color="auto"/>
            <w:bottom w:val="none" w:sz="0" w:space="0" w:color="auto"/>
            <w:right w:val="none" w:sz="0" w:space="0" w:color="auto"/>
          </w:divBdr>
        </w:div>
        <w:div w:id="259611364">
          <w:marLeft w:val="0"/>
          <w:marRight w:val="0"/>
          <w:marTop w:val="0"/>
          <w:marBottom w:val="0"/>
          <w:divBdr>
            <w:top w:val="none" w:sz="0" w:space="0" w:color="auto"/>
            <w:left w:val="none" w:sz="0" w:space="0" w:color="auto"/>
            <w:bottom w:val="none" w:sz="0" w:space="0" w:color="auto"/>
            <w:right w:val="none" w:sz="0" w:space="0" w:color="auto"/>
          </w:divBdr>
        </w:div>
        <w:div w:id="227692140">
          <w:marLeft w:val="0"/>
          <w:marRight w:val="0"/>
          <w:marTop w:val="0"/>
          <w:marBottom w:val="0"/>
          <w:divBdr>
            <w:top w:val="none" w:sz="0" w:space="0" w:color="auto"/>
            <w:left w:val="none" w:sz="0" w:space="0" w:color="auto"/>
            <w:bottom w:val="none" w:sz="0" w:space="0" w:color="auto"/>
            <w:right w:val="none" w:sz="0" w:space="0" w:color="auto"/>
          </w:divBdr>
        </w:div>
        <w:div w:id="313920886">
          <w:marLeft w:val="0"/>
          <w:marRight w:val="0"/>
          <w:marTop w:val="0"/>
          <w:marBottom w:val="0"/>
          <w:divBdr>
            <w:top w:val="none" w:sz="0" w:space="0" w:color="auto"/>
            <w:left w:val="none" w:sz="0" w:space="0" w:color="auto"/>
            <w:bottom w:val="none" w:sz="0" w:space="0" w:color="auto"/>
            <w:right w:val="none" w:sz="0" w:space="0" w:color="auto"/>
          </w:divBdr>
        </w:div>
        <w:div w:id="1732263349">
          <w:marLeft w:val="0"/>
          <w:marRight w:val="0"/>
          <w:marTop w:val="0"/>
          <w:marBottom w:val="0"/>
          <w:divBdr>
            <w:top w:val="none" w:sz="0" w:space="0" w:color="auto"/>
            <w:left w:val="none" w:sz="0" w:space="0" w:color="auto"/>
            <w:bottom w:val="none" w:sz="0" w:space="0" w:color="auto"/>
            <w:right w:val="none" w:sz="0" w:space="0" w:color="auto"/>
          </w:divBdr>
        </w:div>
        <w:div w:id="1355688677">
          <w:marLeft w:val="0"/>
          <w:marRight w:val="0"/>
          <w:marTop w:val="0"/>
          <w:marBottom w:val="0"/>
          <w:divBdr>
            <w:top w:val="none" w:sz="0" w:space="0" w:color="auto"/>
            <w:left w:val="none" w:sz="0" w:space="0" w:color="auto"/>
            <w:bottom w:val="none" w:sz="0" w:space="0" w:color="auto"/>
            <w:right w:val="none" w:sz="0" w:space="0" w:color="auto"/>
          </w:divBdr>
        </w:div>
        <w:div w:id="932855393">
          <w:marLeft w:val="0"/>
          <w:marRight w:val="0"/>
          <w:marTop w:val="0"/>
          <w:marBottom w:val="0"/>
          <w:divBdr>
            <w:top w:val="none" w:sz="0" w:space="0" w:color="auto"/>
            <w:left w:val="none" w:sz="0" w:space="0" w:color="auto"/>
            <w:bottom w:val="none" w:sz="0" w:space="0" w:color="auto"/>
            <w:right w:val="none" w:sz="0" w:space="0" w:color="auto"/>
          </w:divBdr>
        </w:div>
        <w:div w:id="603995771">
          <w:marLeft w:val="0"/>
          <w:marRight w:val="0"/>
          <w:marTop w:val="0"/>
          <w:marBottom w:val="0"/>
          <w:divBdr>
            <w:top w:val="none" w:sz="0" w:space="0" w:color="auto"/>
            <w:left w:val="none" w:sz="0" w:space="0" w:color="auto"/>
            <w:bottom w:val="none" w:sz="0" w:space="0" w:color="auto"/>
            <w:right w:val="none" w:sz="0" w:space="0" w:color="auto"/>
          </w:divBdr>
        </w:div>
        <w:div w:id="358042760">
          <w:marLeft w:val="0"/>
          <w:marRight w:val="0"/>
          <w:marTop w:val="0"/>
          <w:marBottom w:val="0"/>
          <w:divBdr>
            <w:top w:val="none" w:sz="0" w:space="0" w:color="auto"/>
            <w:left w:val="none" w:sz="0" w:space="0" w:color="auto"/>
            <w:bottom w:val="none" w:sz="0" w:space="0" w:color="auto"/>
            <w:right w:val="none" w:sz="0" w:space="0" w:color="auto"/>
          </w:divBdr>
        </w:div>
        <w:div w:id="169181119">
          <w:marLeft w:val="0"/>
          <w:marRight w:val="0"/>
          <w:marTop w:val="0"/>
          <w:marBottom w:val="0"/>
          <w:divBdr>
            <w:top w:val="none" w:sz="0" w:space="0" w:color="auto"/>
            <w:left w:val="none" w:sz="0" w:space="0" w:color="auto"/>
            <w:bottom w:val="none" w:sz="0" w:space="0" w:color="auto"/>
            <w:right w:val="none" w:sz="0" w:space="0" w:color="auto"/>
          </w:divBdr>
        </w:div>
        <w:div w:id="2109999785">
          <w:marLeft w:val="0"/>
          <w:marRight w:val="0"/>
          <w:marTop w:val="0"/>
          <w:marBottom w:val="0"/>
          <w:divBdr>
            <w:top w:val="none" w:sz="0" w:space="0" w:color="auto"/>
            <w:left w:val="none" w:sz="0" w:space="0" w:color="auto"/>
            <w:bottom w:val="none" w:sz="0" w:space="0" w:color="auto"/>
            <w:right w:val="none" w:sz="0" w:space="0" w:color="auto"/>
          </w:divBdr>
        </w:div>
        <w:div w:id="1862359187">
          <w:marLeft w:val="0"/>
          <w:marRight w:val="0"/>
          <w:marTop w:val="0"/>
          <w:marBottom w:val="0"/>
          <w:divBdr>
            <w:top w:val="none" w:sz="0" w:space="0" w:color="auto"/>
            <w:left w:val="none" w:sz="0" w:space="0" w:color="auto"/>
            <w:bottom w:val="none" w:sz="0" w:space="0" w:color="auto"/>
            <w:right w:val="none" w:sz="0" w:space="0" w:color="auto"/>
          </w:divBdr>
        </w:div>
        <w:div w:id="310062790">
          <w:marLeft w:val="0"/>
          <w:marRight w:val="0"/>
          <w:marTop w:val="0"/>
          <w:marBottom w:val="0"/>
          <w:divBdr>
            <w:top w:val="none" w:sz="0" w:space="0" w:color="auto"/>
            <w:left w:val="none" w:sz="0" w:space="0" w:color="auto"/>
            <w:bottom w:val="none" w:sz="0" w:space="0" w:color="auto"/>
            <w:right w:val="none" w:sz="0" w:space="0" w:color="auto"/>
          </w:divBdr>
        </w:div>
        <w:div w:id="1873373109">
          <w:marLeft w:val="0"/>
          <w:marRight w:val="0"/>
          <w:marTop w:val="0"/>
          <w:marBottom w:val="0"/>
          <w:divBdr>
            <w:top w:val="none" w:sz="0" w:space="0" w:color="auto"/>
            <w:left w:val="none" w:sz="0" w:space="0" w:color="auto"/>
            <w:bottom w:val="none" w:sz="0" w:space="0" w:color="auto"/>
            <w:right w:val="none" w:sz="0" w:space="0" w:color="auto"/>
          </w:divBdr>
        </w:div>
        <w:div w:id="1139688241">
          <w:marLeft w:val="0"/>
          <w:marRight w:val="0"/>
          <w:marTop w:val="0"/>
          <w:marBottom w:val="0"/>
          <w:divBdr>
            <w:top w:val="none" w:sz="0" w:space="0" w:color="auto"/>
            <w:left w:val="none" w:sz="0" w:space="0" w:color="auto"/>
            <w:bottom w:val="none" w:sz="0" w:space="0" w:color="auto"/>
            <w:right w:val="none" w:sz="0" w:space="0" w:color="auto"/>
          </w:divBdr>
        </w:div>
        <w:div w:id="1236865131">
          <w:marLeft w:val="0"/>
          <w:marRight w:val="0"/>
          <w:marTop w:val="0"/>
          <w:marBottom w:val="0"/>
          <w:divBdr>
            <w:top w:val="none" w:sz="0" w:space="0" w:color="auto"/>
            <w:left w:val="none" w:sz="0" w:space="0" w:color="auto"/>
            <w:bottom w:val="none" w:sz="0" w:space="0" w:color="auto"/>
            <w:right w:val="none" w:sz="0" w:space="0" w:color="auto"/>
          </w:divBdr>
        </w:div>
        <w:div w:id="1841194515">
          <w:marLeft w:val="0"/>
          <w:marRight w:val="0"/>
          <w:marTop w:val="0"/>
          <w:marBottom w:val="0"/>
          <w:divBdr>
            <w:top w:val="none" w:sz="0" w:space="0" w:color="auto"/>
            <w:left w:val="none" w:sz="0" w:space="0" w:color="auto"/>
            <w:bottom w:val="none" w:sz="0" w:space="0" w:color="auto"/>
            <w:right w:val="none" w:sz="0" w:space="0" w:color="auto"/>
          </w:divBdr>
        </w:div>
        <w:div w:id="79722214">
          <w:marLeft w:val="0"/>
          <w:marRight w:val="0"/>
          <w:marTop w:val="0"/>
          <w:marBottom w:val="0"/>
          <w:divBdr>
            <w:top w:val="none" w:sz="0" w:space="0" w:color="auto"/>
            <w:left w:val="none" w:sz="0" w:space="0" w:color="auto"/>
            <w:bottom w:val="none" w:sz="0" w:space="0" w:color="auto"/>
            <w:right w:val="none" w:sz="0" w:space="0" w:color="auto"/>
          </w:divBdr>
        </w:div>
        <w:div w:id="2060398158">
          <w:marLeft w:val="0"/>
          <w:marRight w:val="0"/>
          <w:marTop w:val="0"/>
          <w:marBottom w:val="0"/>
          <w:divBdr>
            <w:top w:val="none" w:sz="0" w:space="0" w:color="auto"/>
            <w:left w:val="none" w:sz="0" w:space="0" w:color="auto"/>
            <w:bottom w:val="none" w:sz="0" w:space="0" w:color="auto"/>
            <w:right w:val="none" w:sz="0" w:space="0" w:color="auto"/>
          </w:divBdr>
        </w:div>
        <w:div w:id="255869825">
          <w:marLeft w:val="0"/>
          <w:marRight w:val="0"/>
          <w:marTop w:val="0"/>
          <w:marBottom w:val="0"/>
          <w:divBdr>
            <w:top w:val="none" w:sz="0" w:space="0" w:color="auto"/>
            <w:left w:val="none" w:sz="0" w:space="0" w:color="auto"/>
            <w:bottom w:val="none" w:sz="0" w:space="0" w:color="auto"/>
            <w:right w:val="none" w:sz="0" w:space="0" w:color="auto"/>
          </w:divBdr>
        </w:div>
        <w:div w:id="147713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wjasse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WJASSET\Desktop\&#19975;&#23478;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49E5-22A4-46CE-9346-D696ADC8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万家Word模板.dotx</Template>
  <TotalTime>168</TotalTime>
  <Pages>7</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邵晨</cp:lastModifiedBy>
  <cp:revision>34</cp:revision>
  <cp:lastPrinted>2014-06-04T02:32:00Z</cp:lastPrinted>
  <dcterms:created xsi:type="dcterms:W3CDTF">2014-05-30T07:39:00Z</dcterms:created>
  <dcterms:modified xsi:type="dcterms:W3CDTF">2014-06-04T08:47:00Z</dcterms:modified>
</cp:coreProperties>
</file>