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95" w:rsidRDefault="00395FE1" w:rsidP="007E2F95">
      <w:pPr>
        <w:ind w:firstLineChars="0" w:firstLine="0"/>
        <w:jc w:val="center"/>
        <w:rPr>
          <w:rFonts w:ascii="黑体" w:eastAsia="黑体" w:hAnsi="黑体"/>
          <w:kern w:val="36"/>
          <w:sz w:val="36"/>
          <w:szCs w:val="36"/>
        </w:rPr>
      </w:pPr>
      <w:r>
        <w:rPr>
          <w:rFonts w:ascii="黑体" w:eastAsia="黑体" w:hAnsi="黑体" w:hint="eastAsia"/>
          <w:kern w:val="36"/>
          <w:sz w:val="36"/>
          <w:szCs w:val="36"/>
        </w:rPr>
        <w:t>万家添利</w:t>
      </w:r>
      <w:r w:rsidR="007E2F95" w:rsidRPr="007E2F95">
        <w:rPr>
          <w:rFonts w:ascii="黑体" w:eastAsia="黑体" w:hAnsi="黑体" w:hint="eastAsia"/>
          <w:kern w:val="36"/>
          <w:sz w:val="36"/>
          <w:szCs w:val="36"/>
        </w:rPr>
        <w:t>分级债券型证券投资基金</w:t>
      </w:r>
    </w:p>
    <w:p w:rsidR="007E2F95" w:rsidRDefault="00395FE1" w:rsidP="007E2F95">
      <w:pPr>
        <w:ind w:firstLineChars="0" w:firstLine="0"/>
        <w:jc w:val="center"/>
        <w:rPr>
          <w:rFonts w:ascii="黑体" w:eastAsia="黑体" w:hAnsi="黑体"/>
          <w:kern w:val="36"/>
          <w:sz w:val="36"/>
          <w:szCs w:val="36"/>
        </w:rPr>
      </w:pPr>
      <w:r>
        <w:rPr>
          <w:rFonts w:ascii="黑体" w:eastAsia="黑体" w:hAnsi="黑体" w:hint="eastAsia"/>
          <w:kern w:val="36"/>
          <w:sz w:val="36"/>
          <w:szCs w:val="36"/>
        </w:rPr>
        <w:t>基金份额转换结果</w:t>
      </w:r>
      <w:r w:rsidR="007E2F95" w:rsidRPr="007E2F95">
        <w:rPr>
          <w:rFonts w:ascii="黑体" w:eastAsia="黑体" w:hAnsi="黑体" w:hint="eastAsia"/>
          <w:kern w:val="36"/>
          <w:sz w:val="36"/>
          <w:szCs w:val="36"/>
        </w:rPr>
        <w:t>公告</w:t>
      </w:r>
    </w:p>
    <w:p w:rsidR="00395FE1" w:rsidRPr="007E2F95" w:rsidRDefault="00395FE1" w:rsidP="007E2F95">
      <w:pPr>
        <w:ind w:firstLineChars="0" w:firstLine="0"/>
        <w:jc w:val="center"/>
        <w:rPr>
          <w:rFonts w:ascii="黑体" w:eastAsia="黑体" w:hAnsi="黑体"/>
          <w:kern w:val="36"/>
          <w:sz w:val="36"/>
          <w:szCs w:val="36"/>
        </w:rPr>
      </w:pPr>
    </w:p>
    <w:p w:rsidR="007E2F95" w:rsidRPr="007E2F95" w:rsidRDefault="007E2F95" w:rsidP="007E2F95">
      <w:pPr>
        <w:ind w:firstLine="420"/>
        <w:rPr>
          <w:kern w:val="0"/>
          <w:sz w:val="21"/>
          <w:szCs w:val="21"/>
        </w:rPr>
      </w:pPr>
      <w:r w:rsidRPr="007E2F95">
        <w:rPr>
          <w:rFonts w:hint="eastAsia"/>
          <w:kern w:val="0"/>
          <w:sz w:val="21"/>
          <w:szCs w:val="21"/>
        </w:rPr>
        <w:t>《</w:t>
      </w:r>
      <w:r w:rsidR="00395FE1">
        <w:rPr>
          <w:rFonts w:hint="eastAsia"/>
          <w:kern w:val="0"/>
          <w:sz w:val="21"/>
          <w:szCs w:val="21"/>
        </w:rPr>
        <w:t>万家添利</w:t>
      </w:r>
      <w:r w:rsidRPr="007E2F95">
        <w:rPr>
          <w:rFonts w:hint="eastAsia"/>
          <w:kern w:val="0"/>
          <w:sz w:val="21"/>
          <w:szCs w:val="21"/>
        </w:rPr>
        <w:t>分级债券型证券投资基金基金合同》（以下简称“基金合同”）于</w:t>
      </w:r>
      <w:r w:rsidRPr="007E2F95">
        <w:rPr>
          <w:rFonts w:hint="eastAsia"/>
          <w:kern w:val="0"/>
          <w:sz w:val="21"/>
          <w:szCs w:val="21"/>
        </w:rPr>
        <w:t>2011</w:t>
      </w:r>
      <w:r w:rsidRPr="007E2F95">
        <w:rPr>
          <w:rFonts w:hint="eastAsia"/>
          <w:kern w:val="0"/>
          <w:sz w:val="21"/>
          <w:szCs w:val="21"/>
        </w:rPr>
        <w:t>年</w:t>
      </w:r>
      <w:r w:rsidR="00395FE1">
        <w:rPr>
          <w:rFonts w:hint="eastAsia"/>
          <w:kern w:val="0"/>
          <w:sz w:val="21"/>
          <w:szCs w:val="21"/>
        </w:rPr>
        <w:t>6</w:t>
      </w:r>
      <w:r w:rsidRPr="007E2F95">
        <w:rPr>
          <w:rFonts w:hint="eastAsia"/>
          <w:kern w:val="0"/>
          <w:sz w:val="21"/>
          <w:szCs w:val="21"/>
        </w:rPr>
        <w:t>月</w:t>
      </w:r>
      <w:r w:rsidR="00395FE1">
        <w:rPr>
          <w:rFonts w:hint="eastAsia"/>
          <w:kern w:val="0"/>
          <w:sz w:val="21"/>
          <w:szCs w:val="21"/>
        </w:rPr>
        <w:t>2</w:t>
      </w:r>
      <w:r w:rsidRPr="007E2F95">
        <w:rPr>
          <w:rFonts w:hint="eastAsia"/>
          <w:kern w:val="0"/>
          <w:sz w:val="21"/>
          <w:szCs w:val="21"/>
        </w:rPr>
        <w:t>日生效，根据《基金合同》的有关规定，</w:t>
      </w:r>
      <w:r w:rsidR="00395FE1">
        <w:rPr>
          <w:rFonts w:hint="eastAsia"/>
          <w:kern w:val="0"/>
          <w:sz w:val="21"/>
          <w:szCs w:val="21"/>
        </w:rPr>
        <w:t>万家添利</w:t>
      </w:r>
      <w:r w:rsidRPr="007E2F95">
        <w:rPr>
          <w:rFonts w:hint="eastAsia"/>
          <w:kern w:val="0"/>
          <w:sz w:val="21"/>
          <w:szCs w:val="21"/>
        </w:rPr>
        <w:t>分级债券型证券投资基金（以下简称“本基金”）《基金合同》生效后</w:t>
      </w:r>
      <w:r w:rsidRPr="007E2F95">
        <w:rPr>
          <w:rFonts w:hint="eastAsia"/>
          <w:color w:val="000000"/>
          <w:kern w:val="0"/>
          <w:sz w:val="21"/>
          <w:szCs w:val="21"/>
        </w:rPr>
        <w:t>3</w:t>
      </w:r>
      <w:r w:rsidRPr="007E2F95">
        <w:rPr>
          <w:rFonts w:hint="eastAsia"/>
          <w:color w:val="000000"/>
          <w:kern w:val="0"/>
          <w:sz w:val="21"/>
          <w:szCs w:val="21"/>
        </w:rPr>
        <w:t>年期届满</w:t>
      </w:r>
      <w:r w:rsidRPr="007E2F95">
        <w:rPr>
          <w:rFonts w:hint="eastAsia"/>
          <w:kern w:val="0"/>
          <w:sz w:val="21"/>
          <w:szCs w:val="21"/>
        </w:rPr>
        <w:t>，本基金无需召开基金份额持有人大会，即转换为上市开放式基金（</w:t>
      </w:r>
      <w:r w:rsidRPr="007E2F95">
        <w:rPr>
          <w:rFonts w:hint="eastAsia"/>
          <w:kern w:val="0"/>
          <w:sz w:val="21"/>
          <w:szCs w:val="21"/>
        </w:rPr>
        <w:t>LOF</w:t>
      </w:r>
      <w:r w:rsidRPr="007E2F95">
        <w:rPr>
          <w:rFonts w:hint="eastAsia"/>
          <w:kern w:val="0"/>
          <w:sz w:val="21"/>
          <w:szCs w:val="21"/>
        </w:rPr>
        <w:t>）。</w:t>
      </w:r>
    </w:p>
    <w:p w:rsidR="007E2F95" w:rsidRPr="007E2F95" w:rsidRDefault="007E2F95" w:rsidP="007E2F95">
      <w:pPr>
        <w:ind w:firstLine="420"/>
        <w:rPr>
          <w:kern w:val="0"/>
          <w:sz w:val="21"/>
          <w:szCs w:val="21"/>
        </w:rPr>
      </w:pPr>
      <w:r w:rsidRPr="007E2F95">
        <w:rPr>
          <w:rFonts w:hint="eastAsia"/>
          <w:kern w:val="0"/>
          <w:sz w:val="21"/>
          <w:szCs w:val="21"/>
        </w:rPr>
        <w:t>根据基金合同以及</w:t>
      </w:r>
      <w:r w:rsidR="00395FE1">
        <w:rPr>
          <w:rFonts w:hint="eastAsia"/>
          <w:kern w:val="0"/>
          <w:sz w:val="21"/>
          <w:szCs w:val="21"/>
        </w:rPr>
        <w:t>万家</w:t>
      </w:r>
      <w:r w:rsidRPr="007E2F95">
        <w:rPr>
          <w:rFonts w:hint="eastAsia"/>
          <w:kern w:val="0"/>
          <w:sz w:val="21"/>
          <w:szCs w:val="21"/>
        </w:rPr>
        <w:t>基金管理有限公司（以下简称“本基金管理人”）披露的《</w:t>
      </w:r>
      <w:r w:rsidR="00395FE1">
        <w:rPr>
          <w:rFonts w:hint="eastAsia"/>
          <w:kern w:val="0"/>
          <w:sz w:val="21"/>
          <w:szCs w:val="21"/>
        </w:rPr>
        <w:t>万家添利</w:t>
      </w:r>
      <w:r w:rsidRPr="007E2F95">
        <w:rPr>
          <w:rFonts w:hint="eastAsia"/>
          <w:kern w:val="0"/>
          <w:sz w:val="21"/>
          <w:szCs w:val="21"/>
        </w:rPr>
        <w:t>分级债券型证券投资基金</w:t>
      </w:r>
      <w:r w:rsidRPr="007E2F95">
        <w:rPr>
          <w:rFonts w:hint="eastAsia"/>
          <w:kern w:val="0"/>
          <w:sz w:val="21"/>
          <w:szCs w:val="21"/>
        </w:rPr>
        <w:t>3</w:t>
      </w:r>
      <w:r w:rsidRPr="007E2F95">
        <w:rPr>
          <w:rFonts w:hint="eastAsia"/>
          <w:kern w:val="0"/>
          <w:sz w:val="21"/>
          <w:szCs w:val="21"/>
        </w:rPr>
        <w:t>年期届满与基金份额转换的公告》，投资者认购</w:t>
      </w:r>
      <w:r w:rsidR="005A1A81">
        <w:rPr>
          <w:rFonts w:hint="eastAsia"/>
          <w:kern w:val="0"/>
          <w:sz w:val="21"/>
          <w:szCs w:val="21"/>
        </w:rPr>
        <w:t>、申购</w:t>
      </w:r>
      <w:r w:rsidRPr="007E2F95">
        <w:rPr>
          <w:rFonts w:hint="eastAsia"/>
          <w:kern w:val="0"/>
          <w:sz w:val="21"/>
          <w:szCs w:val="21"/>
        </w:rPr>
        <w:t>或通过上市交易购买并持有到期的每一份</w:t>
      </w:r>
      <w:r w:rsidR="00395FE1">
        <w:rPr>
          <w:rFonts w:hint="eastAsia"/>
          <w:kern w:val="0"/>
          <w:sz w:val="21"/>
          <w:szCs w:val="21"/>
        </w:rPr>
        <w:t>万家利</w:t>
      </w:r>
      <w:r w:rsidR="00395FE1">
        <w:rPr>
          <w:rFonts w:hint="eastAsia"/>
          <w:kern w:val="0"/>
          <w:sz w:val="21"/>
          <w:szCs w:val="21"/>
        </w:rPr>
        <w:t>A</w:t>
      </w:r>
      <w:r w:rsidRPr="007E2F95">
        <w:rPr>
          <w:rFonts w:hint="eastAsia"/>
          <w:kern w:val="0"/>
          <w:sz w:val="21"/>
          <w:szCs w:val="21"/>
        </w:rPr>
        <w:t>和</w:t>
      </w:r>
      <w:r w:rsidR="00395FE1">
        <w:rPr>
          <w:rFonts w:hint="eastAsia"/>
          <w:kern w:val="0"/>
          <w:sz w:val="21"/>
          <w:szCs w:val="21"/>
        </w:rPr>
        <w:t>万家利</w:t>
      </w:r>
      <w:r w:rsidR="00395FE1">
        <w:rPr>
          <w:rFonts w:hint="eastAsia"/>
          <w:kern w:val="0"/>
          <w:sz w:val="21"/>
          <w:szCs w:val="21"/>
        </w:rPr>
        <w:t>B</w:t>
      </w:r>
      <w:r w:rsidRPr="007E2F95">
        <w:rPr>
          <w:rFonts w:hint="eastAsia"/>
          <w:kern w:val="0"/>
          <w:sz w:val="21"/>
          <w:szCs w:val="21"/>
        </w:rPr>
        <w:t>，在基金合同生效之日起</w:t>
      </w:r>
      <w:r w:rsidRPr="007E2F95">
        <w:rPr>
          <w:rFonts w:hint="eastAsia"/>
          <w:kern w:val="0"/>
          <w:sz w:val="21"/>
          <w:szCs w:val="21"/>
        </w:rPr>
        <w:t>3</w:t>
      </w:r>
      <w:r w:rsidRPr="007E2F95">
        <w:rPr>
          <w:rFonts w:hint="eastAsia"/>
          <w:kern w:val="0"/>
          <w:sz w:val="21"/>
          <w:szCs w:val="21"/>
        </w:rPr>
        <w:t>年届满日</w:t>
      </w:r>
      <w:r w:rsidR="00395FE1">
        <w:rPr>
          <w:rFonts w:hint="eastAsia"/>
          <w:kern w:val="0"/>
          <w:sz w:val="21"/>
          <w:szCs w:val="21"/>
        </w:rPr>
        <w:t>（</w:t>
      </w:r>
      <w:r w:rsidRPr="007E2F95">
        <w:rPr>
          <w:rFonts w:hint="eastAsia"/>
          <w:kern w:val="0"/>
          <w:sz w:val="21"/>
          <w:szCs w:val="21"/>
        </w:rPr>
        <w:t>即</w:t>
      </w:r>
      <w:r w:rsidRPr="007E2F95">
        <w:rPr>
          <w:rFonts w:hint="eastAsia"/>
          <w:kern w:val="0"/>
          <w:sz w:val="21"/>
          <w:szCs w:val="21"/>
        </w:rPr>
        <w:t>2014</w:t>
      </w:r>
      <w:r w:rsidRPr="007E2F95">
        <w:rPr>
          <w:rFonts w:hint="eastAsia"/>
          <w:kern w:val="0"/>
          <w:sz w:val="21"/>
          <w:szCs w:val="21"/>
        </w:rPr>
        <w:t>年</w:t>
      </w:r>
      <w:r w:rsidR="00395FE1">
        <w:rPr>
          <w:rFonts w:hint="eastAsia"/>
          <w:kern w:val="0"/>
          <w:sz w:val="21"/>
          <w:szCs w:val="21"/>
        </w:rPr>
        <w:t>6</w:t>
      </w:r>
      <w:r w:rsidRPr="007E2F95">
        <w:rPr>
          <w:rFonts w:hint="eastAsia"/>
          <w:kern w:val="0"/>
          <w:sz w:val="21"/>
          <w:szCs w:val="21"/>
        </w:rPr>
        <w:t>月</w:t>
      </w:r>
      <w:r w:rsidR="00395FE1">
        <w:rPr>
          <w:rFonts w:hint="eastAsia"/>
          <w:kern w:val="0"/>
          <w:sz w:val="21"/>
          <w:szCs w:val="21"/>
        </w:rPr>
        <w:t>3</w:t>
      </w:r>
      <w:r w:rsidRPr="007E2F95">
        <w:rPr>
          <w:rFonts w:hint="eastAsia"/>
          <w:kern w:val="0"/>
          <w:sz w:val="21"/>
          <w:szCs w:val="21"/>
        </w:rPr>
        <w:t>日</w:t>
      </w:r>
      <w:r w:rsidR="00395FE1">
        <w:rPr>
          <w:rFonts w:hint="eastAsia"/>
          <w:kern w:val="0"/>
          <w:sz w:val="21"/>
          <w:szCs w:val="21"/>
        </w:rPr>
        <w:t>），将按照基金合同约定的资产及收益的计算规则分别计算万家利</w:t>
      </w:r>
      <w:r w:rsidRPr="007E2F95">
        <w:rPr>
          <w:rFonts w:hint="eastAsia"/>
          <w:kern w:val="0"/>
          <w:sz w:val="21"/>
          <w:szCs w:val="21"/>
        </w:rPr>
        <w:t>A</w:t>
      </w:r>
      <w:r w:rsidR="00395FE1">
        <w:rPr>
          <w:rFonts w:hint="eastAsia"/>
          <w:kern w:val="0"/>
          <w:sz w:val="21"/>
          <w:szCs w:val="21"/>
        </w:rPr>
        <w:t>和万家利</w:t>
      </w:r>
      <w:r w:rsidRPr="007E2F95">
        <w:rPr>
          <w:rFonts w:hint="eastAsia"/>
          <w:kern w:val="0"/>
          <w:sz w:val="21"/>
          <w:szCs w:val="21"/>
        </w:rPr>
        <w:t>B</w:t>
      </w:r>
      <w:r w:rsidRPr="007E2F95">
        <w:rPr>
          <w:rFonts w:hint="eastAsia"/>
          <w:kern w:val="0"/>
          <w:sz w:val="21"/>
          <w:szCs w:val="21"/>
        </w:rPr>
        <w:t>的基金份额净值，并以各自的份额净值为基础，转换为</w:t>
      </w:r>
      <w:r w:rsidR="00395FE1">
        <w:rPr>
          <w:rFonts w:hint="eastAsia"/>
          <w:kern w:val="0"/>
          <w:sz w:val="21"/>
          <w:szCs w:val="21"/>
        </w:rPr>
        <w:t>万家添利</w:t>
      </w:r>
      <w:r w:rsidRPr="007E2F95">
        <w:rPr>
          <w:rFonts w:hint="eastAsia"/>
          <w:kern w:val="0"/>
          <w:sz w:val="21"/>
          <w:szCs w:val="21"/>
        </w:rPr>
        <w:t>债券型证券投资基金（</w:t>
      </w:r>
      <w:r w:rsidRPr="007E2F95">
        <w:rPr>
          <w:rFonts w:hint="eastAsia"/>
          <w:kern w:val="0"/>
          <w:sz w:val="21"/>
          <w:szCs w:val="21"/>
        </w:rPr>
        <w:t>LOF</w:t>
      </w:r>
      <w:r w:rsidR="00395FE1">
        <w:rPr>
          <w:rFonts w:hint="eastAsia"/>
          <w:kern w:val="0"/>
          <w:sz w:val="21"/>
          <w:szCs w:val="21"/>
        </w:rPr>
        <w:t>）的基金份额。无论基金份额持有人单独持有或同时持有转型前的万家利</w:t>
      </w:r>
      <w:r w:rsidRPr="007E2F95">
        <w:rPr>
          <w:rFonts w:hint="eastAsia"/>
          <w:kern w:val="0"/>
          <w:sz w:val="21"/>
          <w:szCs w:val="21"/>
        </w:rPr>
        <w:t>A</w:t>
      </w:r>
      <w:r w:rsidR="00395FE1">
        <w:rPr>
          <w:rFonts w:hint="eastAsia"/>
          <w:kern w:val="0"/>
          <w:sz w:val="21"/>
          <w:szCs w:val="21"/>
        </w:rPr>
        <w:t>和万家利</w:t>
      </w:r>
      <w:r w:rsidRPr="007E2F95">
        <w:rPr>
          <w:rFonts w:hint="eastAsia"/>
          <w:kern w:val="0"/>
          <w:sz w:val="21"/>
          <w:szCs w:val="21"/>
        </w:rPr>
        <w:t>B</w:t>
      </w:r>
      <w:r w:rsidRPr="007E2F95">
        <w:rPr>
          <w:rFonts w:hint="eastAsia"/>
          <w:kern w:val="0"/>
          <w:sz w:val="21"/>
          <w:szCs w:val="21"/>
        </w:rPr>
        <w:t>，均无需支付转换基金份额的费用。本基金转换成上市开放式基金（</w:t>
      </w:r>
      <w:r w:rsidRPr="007E2F95">
        <w:rPr>
          <w:rFonts w:hint="eastAsia"/>
          <w:kern w:val="0"/>
          <w:sz w:val="21"/>
          <w:szCs w:val="21"/>
        </w:rPr>
        <w:t>LOF</w:t>
      </w:r>
      <w:r w:rsidRPr="007E2F95">
        <w:rPr>
          <w:rFonts w:hint="eastAsia"/>
          <w:kern w:val="0"/>
          <w:sz w:val="21"/>
          <w:szCs w:val="21"/>
        </w:rPr>
        <w:t>）后的基金份额净值调整为</w:t>
      </w:r>
      <w:r w:rsidRPr="007E2F95">
        <w:rPr>
          <w:rFonts w:hint="eastAsia"/>
          <w:kern w:val="0"/>
          <w:sz w:val="21"/>
          <w:szCs w:val="21"/>
        </w:rPr>
        <w:t>1.000</w:t>
      </w:r>
      <w:r w:rsidRPr="007E2F95">
        <w:rPr>
          <w:rFonts w:hint="eastAsia"/>
          <w:kern w:val="0"/>
          <w:sz w:val="21"/>
          <w:szCs w:val="21"/>
        </w:rPr>
        <w:t>元。</w:t>
      </w:r>
    </w:p>
    <w:p w:rsidR="007E2F95" w:rsidRPr="007E2F95" w:rsidRDefault="007E2F95" w:rsidP="007E2F95">
      <w:pPr>
        <w:ind w:firstLine="420"/>
        <w:rPr>
          <w:kern w:val="0"/>
          <w:sz w:val="21"/>
          <w:szCs w:val="21"/>
        </w:rPr>
      </w:pPr>
      <w:r w:rsidRPr="007E2F95">
        <w:rPr>
          <w:rFonts w:hint="eastAsia"/>
          <w:kern w:val="0"/>
          <w:sz w:val="21"/>
          <w:szCs w:val="21"/>
        </w:rPr>
        <w:t>现将份额转换结果公告如下表：</w:t>
      </w:r>
    </w:p>
    <w:tbl>
      <w:tblPr>
        <w:tblStyle w:val="a8"/>
        <w:tblW w:w="0" w:type="auto"/>
        <w:tblLook w:val="04A0"/>
      </w:tblPr>
      <w:tblGrid>
        <w:gridCol w:w="1278"/>
        <w:gridCol w:w="1338"/>
        <w:gridCol w:w="1529"/>
        <w:gridCol w:w="1482"/>
        <w:gridCol w:w="1366"/>
        <w:gridCol w:w="1529"/>
      </w:tblGrid>
      <w:tr w:rsidR="00395FE1" w:rsidRPr="001F021D" w:rsidTr="00395FE1">
        <w:tc>
          <w:tcPr>
            <w:tcW w:w="1420" w:type="dxa"/>
          </w:tcPr>
          <w:p w:rsidR="00395FE1" w:rsidRPr="001F021D" w:rsidRDefault="00395FE1" w:rsidP="00395FE1">
            <w:pPr>
              <w:spacing w:line="360" w:lineRule="auto"/>
              <w:ind w:firstLineChars="0" w:firstLine="0"/>
              <w:rPr>
                <w:sz w:val="21"/>
                <w:szCs w:val="21"/>
              </w:rPr>
            </w:pPr>
            <w:r w:rsidRPr="001F021D">
              <w:rPr>
                <w:rFonts w:hint="eastAsia"/>
                <w:sz w:val="21"/>
                <w:szCs w:val="21"/>
              </w:rPr>
              <w:t>转换前的基金份额</w:t>
            </w:r>
          </w:p>
        </w:tc>
        <w:tc>
          <w:tcPr>
            <w:tcW w:w="1420" w:type="dxa"/>
          </w:tcPr>
          <w:p w:rsidR="00395FE1" w:rsidRPr="001F021D" w:rsidRDefault="00395FE1" w:rsidP="00395FE1">
            <w:pPr>
              <w:spacing w:line="360" w:lineRule="auto"/>
              <w:ind w:firstLineChars="0" w:firstLine="0"/>
              <w:rPr>
                <w:sz w:val="21"/>
                <w:szCs w:val="21"/>
              </w:rPr>
            </w:pPr>
            <w:r w:rsidRPr="001F021D">
              <w:rPr>
                <w:rFonts w:hint="eastAsia"/>
                <w:sz w:val="21"/>
                <w:szCs w:val="21"/>
              </w:rPr>
              <w:t>转换前份额净值（元）</w:t>
            </w:r>
          </w:p>
        </w:tc>
        <w:tc>
          <w:tcPr>
            <w:tcW w:w="1420" w:type="dxa"/>
          </w:tcPr>
          <w:p w:rsidR="00395FE1" w:rsidRPr="001F021D" w:rsidRDefault="00395FE1" w:rsidP="00395FE1">
            <w:pPr>
              <w:spacing w:line="360" w:lineRule="auto"/>
              <w:ind w:firstLineChars="0" w:firstLine="0"/>
              <w:rPr>
                <w:sz w:val="21"/>
                <w:szCs w:val="21"/>
              </w:rPr>
            </w:pPr>
            <w:r w:rsidRPr="001F021D">
              <w:rPr>
                <w:rFonts w:hint="eastAsia"/>
                <w:sz w:val="21"/>
                <w:szCs w:val="21"/>
              </w:rPr>
              <w:t>转换前份额数量（份）</w:t>
            </w:r>
          </w:p>
        </w:tc>
        <w:tc>
          <w:tcPr>
            <w:tcW w:w="1420" w:type="dxa"/>
          </w:tcPr>
          <w:p w:rsidR="00395FE1" w:rsidRPr="001F021D" w:rsidRDefault="00395FE1" w:rsidP="00395FE1">
            <w:pPr>
              <w:spacing w:line="360" w:lineRule="auto"/>
              <w:ind w:firstLineChars="0" w:firstLine="0"/>
              <w:rPr>
                <w:sz w:val="21"/>
                <w:szCs w:val="21"/>
              </w:rPr>
            </w:pPr>
            <w:r w:rsidRPr="001F021D">
              <w:rPr>
                <w:rFonts w:hint="eastAsia"/>
                <w:sz w:val="21"/>
                <w:szCs w:val="21"/>
              </w:rPr>
              <w:t>转换比例</w:t>
            </w:r>
          </w:p>
        </w:tc>
        <w:tc>
          <w:tcPr>
            <w:tcW w:w="1421" w:type="dxa"/>
          </w:tcPr>
          <w:p w:rsidR="00395FE1" w:rsidRPr="001F021D" w:rsidRDefault="00395FE1" w:rsidP="00395FE1">
            <w:pPr>
              <w:spacing w:line="360" w:lineRule="auto"/>
              <w:ind w:firstLineChars="0" w:firstLine="0"/>
              <w:rPr>
                <w:sz w:val="21"/>
                <w:szCs w:val="21"/>
              </w:rPr>
            </w:pPr>
            <w:r w:rsidRPr="001F021D">
              <w:rPr>
                <w:rFonts w:hint="eastAsia"/>
                <w:sz w:val="21"/>
                <w:szCs w:val="21"/>
              </w:rPr>
              <w:t>转换后的基金份额</w:t>
            </w:r>
          </w:p>
        </w:tc>
        <w:tc>
          <w:tcPr>
            <w:tcW w:w="1421" w:type="dxa"/>
          </w:tcPr>
          <w:p w:rsidR="00395FE1" w:rsidRPr="001F021D" w:rsidRDefault="00395FE1" w:rsidP="00395FE1">
            <w:pPr>
              <w:spacing w:line="360" w:lineRule="auto"/>
              <w:ind w:firstLineChars="0" w:firstLine="0"/>
              <w:rPr>
                <w:sz w:val="21"/>
                <w:szCs w:val="21"/>
              </w:rPr>
            </w:pPr>
            <w:r w:rsidRPr="001F021D">
              <w:rPr>
                <w:rFonts w:hint="eastAsia"/>
                <w:sz w:val="21"/>
                <w:szCs w:val="21"/>
              </w:rPr>
              <w:t>转换后的基金份额数</w:t>
            </w:r>
          </w:p>
        </w:tc>
      </w:tr>
      <w:tr w:rsidR="00395FE1" w:rsidRPr="001F021D" w:rsidTr="00395FE1">
        <w:tc>
          <w:tcPr>
            <w:tcW w:w="1420" w:type="dxa"/>
          </w:tcPr>
          <w:p w:rsidR="00395FE1" w:rsidRPr="001F021D" w:rsidRDefault="00395FE1" w:rsidP="00395FE1">
            <w:pPr>
              <w:spacing w:line="360" w:lineRule="auto"/>
              <w:ind w:firstLineChars="0" w:firstLine="0"/>
              <w:rPr>
                <w:sz w:val="21"/>
                <w:szCs w:val="21"/>
              </w:rPr>
            </w:pPr>
            <w:r w:rsidRPr="001F021D">
              <w:rPr>
                <w:rFonts w:hint="eastAsia"/>
                <w:sz w:val="21"/>
                <w:szCs w:val="21"/>
              </w:rPr>
              <w:t>万家利</w:t>
            </w:r>
            <w:r w:rsidRPr="001F021D">
              <w:rPr>
                <w:rFonts w:hint="eastAsia"/>
                <w:sz w:val="21"/>
                <w:szCs w:val="21"/>
              </w:rPr>
              <w:t>A</w:t>
            </w:r>
          </w:p>
        </w:tc>
        <w:tc>
          <w:tcPr>
            <w:tcW w:w="1420" w:type="dxa"/>
          </w:tcPr>
          <w:p w:rsidR="00395FE1" w:rsidRPr="001F021D" w:rsidRDefault="009C2B6A" w:rsidP="00395FE1">
            <w:pPr>
              <w:spacing w:line="360" w:lineRule="auto"/>
              <w:ind w:firstLineChars="0" w:firstLine="0"/>
              <w:rPr>
                <w:sz w:val="21"/>
                <w:szCs w:val="21"/>
              </w:rPr>
            </w:pPr>
            <w:r w:rsidRPr="001F021D">
              <w:rPr>
                <w:rFonts w:hint="eastAsia"/>
                <w:sz w:val="21"/>
                <w:szCs w:val="21"/>
              </w:rPr>
              <w:t>1.1367</w:t>
            </w:r>
          </w:p>
        </w:tc>
        <w:tc>
          <w:tcPr>
            <w:tcW w:w="1420" w:type="dxa"/>
          </w:tcPr>
          <w:p w:rsidR="00395FE1" w:rsidRPr="001F021D" w:rsidRDefault="009C2B6A" w:rsidP="00395FE1">
            <w:pPr>
              <w:spacing w:line="360" w:lineRule="auto"/>
              <w:ind w:firstLineChars="0" w:firstLine="0"/>
              <w:rPr>
                <w:sz w:val="21"/>
                <w:szCs w:val="21"/>
              </w:rPr>
            </w:pPr>
            <w:r w:rsidRPr="001F021D">
              <w:rPr>
                <w:sz w:val="21"/>
                <w:szCs w:val="21"/>
              </w:rPr>
              <w:t>191</w:t>
            </w:r>
            <w:r w:rsidRPr="001F021D">
              <w:rPr>
                <w:rFonts w:hint="eastAsia"/>
                <w:sz w:val="21"/>
                <w:szCs w:val="21"/>
              </w:rPr>
              <w:t>,</w:t>
            </w:r>
            <w:r w:rsidRPr="001F021D">
              <w:rPr>
                <w:sz w:val="21"/>
                <w:szCs w:val="21"/>
              </w:rPr>
              <w:t>496</w:t>
            </w:r>
            <w:r w:rsidRPr="001F021D">
              <w:rPr>
                <w:rFonts w:hint="eastAsia"/>
                <w:sz w:val="21"/>
                <w:szCs w:val="21"/>
              </w:rPr>
              <w:t>,</w:t>
            </w:r>
            <w:r w:rsidRPr="001F021D">
              <w:rPr>
                <w:sz w:val="21"/>
                <w:szCs w:val="21"/>
              </w:rPr>
              <w:t>169.8</w:t>
            </w:r>
            <w:r w:rsidRPr="001F021D">
              <w:rPr>
                <w:rFonts w:hint="eastAsia"/>
                <w:sz w:val="21"/>
                <w:szCs w:val="21"/>
              </w:rPr>
              <w:t>0</w:t>
            </w:r>
          </w:p>
        </w:tc>
        <w:tc>
          <w:tcPr>
            <w:tcW w:w="1420" w:type="dxa"/>
          </w:tcPr>
          <w:p w:rsidR="00395FE1" w:rsidRPr="001F021D" w:rsidRDefault="009C2B6A" w:rsidP="00395FE1">
            <w:pPr>
              <w:spacing w:line="360" w:lineRule="auto"/>
              <w:ind w:firstLineChars="0" w:firstLine="0"/>
              <w:rPr>
                <w:sz w:val="21"/>
                <w:szCs w:val="21"/>
              </w:rPr>
            </w:pPr>
            <w:r w:rsidRPr="001F021D">
              <w:rPr>
                <w:rFonts w:hint="eastAsia"/>
                <w:sz w:val="21"/>
                <w:szCs w:val="21"/>
              </w:rPr>
              <w:t>1:1.136700000</w:t>
            </w:r>
          </w:p>
        </w:tc>
        <w:tc>
          <w:tcPr>
            <w:tcW w:w="1421" w:type="dxa"/>
          </w:tcPr>
          <w:p w:rsidR="00395FE1" w:rsidRPr="001F021D" w:rsidRDefault="00224471" w:rsidP="00395FE1">
            <w:pPr>
              <w:spacing w:line="360" w:lineRule="auto"/>
              <w:ind w:firstLineChars="0" w:firstLine="0"/>
              <w:rPr>
                <w:sz w:val="21"/>
                <w:szCs w:val="21"/>
              </w:rPr>
            </w:pPr>
            <w:r w:rsidRPr="001F021D">
              <w:rPr>
                <w:rFonts w:hint="eastAsia"/>
                <w:sz w:val="21"/>
                <w:szCs w:val="21"/>
              </w:rPr>
              <w:t>万家添利（</w:t>
            </w:r>
            <w:r w:rsidRPr="001F021D">
              <w:rPr>
                <w:rFonts w:hint="eastAsia"/>
                <w:sz w:val="21"/>
                <w:szCs w:val="21"/>
              </w:rPr>
              <w:t>LOF</w:t>
            </w:r>
            <w:r w:rsidRPr="001F021D">
              <w:rPr>
                <w:rFonts w:hint="eastAsia"/>
                <w:sz w:val="21"/>
                <w:szCs w:val="21"/>
              </w:rPr>
              <w:t>）</w:t>
            </w:r>
          </w:p>
        </w:tc>
        <w:tc>
          <w:tcPr>
            <w:tcW w:w="1421" w:type="dxa"/>
          </w:tcPr>
          <w:p w:rsidR="00395FE1" w:rsidRPr="001F021D" w:rsidRDefault="009C2B6A" w:rsidP="00395FE1">
            <w:pPr>
              <w:spacing w:line="360" w:lineRule="auto"/>
              <w:ind w:firstLineChars="0" w:firstLine="0"/>
              <w:rPr>
                <w:sz w:val="21"/>
                <w:szCs w:val="21"/>
              </w:rPr>
            </w:pPr>
            <w:r w:rsidRPr="001F021D">
              <w:rPr>
                <w:sz w:val="21"/>
                <w:szCs w:val="21"/>
              </w:rPr>
              <w:t>217</w:t>
            </w:r>
            <w:r w:rsidRPr="001F021D">
              <w:rPr>
                <w:rFonts w:hint="eastAsia"/>
                <w:sz w:val="21"/>
                <w:szCs w:val="21"/>
              </w:rPr>
              <w:t>,</w:t>
            </w:r>
            <w:r w:rsidRPr="001F021D">
              <w:rPr>
                <w:sz w:val="21"/>
                <w:szCs w:val="21"/>
              </w:rPr>
              <w:t>673</w:t>
            </w:r>
            <w:r w:rsidRPr="001F021D">
              <w:rPr>
                <w:rFonts w:hint="eastAsia"/>
                <w:sz w:val="21"/>
                <w:szCs w:val="21"/>
              </w:rPr>
              <w:t>,</w:t>
            </w:r>
            <w:r w:rsidRPr="001F021D">
              <w:rPr>
                <w:sz w:val="21"/>
                <w:szCs w:val="21"/>
              </w:rPr>
              <w:t>696.21</w:t>
            </w:r>
          </w:p>
        </w:tc>
      </w:tr>
      <w:tr w:rsidR="00395FE1" w:rsidRPr="00395FE1" w:rsidTr="00395FE1">
        <w:tc>
          <w:tcPr>
            <w:tcW w:w="1420" w:type="dxa"/>
          </w:tcPr>
          <w:p w:rsidR="00395FE1" w:rsidRPr="001F021D" w:rsidRDefault="00395FE1" w:rsidP="00395FE1">
            <w:pPr>
              <w:spacing w:line="360" w:lineRule="auto"/>
              <w:ind w:firstLineChars="0" w:firstLine="0"/>
              <w:rPr>
                <w:sz w:val="21"/>
                <w:szCs w:val="21"/>
              </w:rPr>
            </w:pPr>
            <w:r w:rsidRPr="001F021D">
              <w:rPr>
                <w:rFonts w:hint="eastAsia"/>
                <w:sz w:val="21"/>
                <w:szCs w:val="21"/>
              </w:rPr>
              <w:t>万家利</w:t>
            </w:r>
            <w:r w:rsidRPr="001F021D">
              <w:rPr>
                <w:rFonts w:hint="eastAsia"/>
                <w:sz w:val="21"/>
                <w:szCs w:val="21"/>
              </w:rPr>
              <w:t>B</w:t>
            </w:r>
          </w:p>
        </w:tc>
        <w:tc>
          <w:tcPr>
            <w:tcW w:w="1420" w:type="dxa"/>
          </w:tcPr>
          <w:p w:rsidR="00395FE1" w:rsidRPr="001F021D" w:rsidRDefault="009C2B6A" w:rsidP="00395FE1">
            <w:pPr>
              <w:spacing w:line="360" w:lineRule="auto"/>
              <w:ind w:firstLineChars="0" w:firstLine="0"/>
              <w:rPr>
                <w:sz w:val="21"/>
                <w:szCs w:val="21"/>
              </w:rPr>
            </w:pPr>
            <w:r w:rsidRPr="001F021D">
              <w:rPr>
                <w:rFonts w:hint="eastAsia"/>
                <w:sz w:val="21"/>
                <w:szCs w:val="21"/>
              </w:rPr>
              <w:t>1.2783</w:t>
            </w:r>
          </w:p>
        </w:tc>
        <w:tc>
          <w:tcPr>
            <w:tcW w:w="1420" w:type="dxa"/>
          </w:tcPr>
          <w:p w:rsidR="00395FE1" w:rsidRPr="001F021D" w:rsidRDefault="009C2B6A" w:rsidP="00395FE1">
            <w:pPr>
              <w:spacing w:line="360" w:lineRule="auto"/>
              <w:ind w:firstLineChars="0" w:firstLine="0"/>
              <w:rPr>
                <w:sz w:val="21"/>
                <w:szCs w:val="21"/>
              </w:rPr>
            </w:pPr>
            <w:r w:rsidRPr="001F021D">
              <w:rPr>
                <w:sz w:val="21"/>
                <w:szCs w:val="21"/>
              </w:rPr>
              <w:t>773</w:t>
            </w:r>
            <w:r w:rsidRPr="001F021D">
              <w:rPr>
                <w:rFonts w:hint="eastAsia"/>
                <w:sz w:val="21"/>
                <w:szCs w:val="21"/>
              </w:rPr>
              <w:t>,</w:t>
            </w:r>
            <w:r w:rsidRPr="001F021D">
              <w:rPr>
                <w:sz w:val="21"/>
                <w:szCs w:val="21"/>
              </w:rPr>
              <w:t>271</w:t>
            </w:r>
            <w:r w:rsidRPr="001F021D">
              <w:rPr>
                <w:rFonts w:hint="eastAsia"/>
                <w:sz w:val="21"/>
                <w:szCs w:val="21"/>
              </w:rPr>
              <w:t>,</w:t>
            </w:r>
            <w:r w:rsidRPr="001F021D">
              <w:rPr>
                <w:sz w:val="21"/>
                <w:szCs w:val="21"/>
              </w:rPr>
              <w:t>411.37</w:t>
            </w:r>
          </w:p>
        </w:tc>
        <w:tc>
          <w:tcPr>
            <w:tcW w:w="1420" w:type="dxa"/>
          </w:tcPr>
          <w:p w:rsidR="00395FE1" w:rsidRPr="001F021D" w:rsidRDefault="009C2B6A" w:rsidP="00395FE1">
            <w:pPr>
              <w:spacing w:line="360" w:lineRule="auto"/>
              <w:ind w:firstLineChars="0" w:firstLine="0"/>
              <w:rPr>
                <w:sz w:val="21"/>
                <w:szCs w:val="21"/>
              </w:rPr>
            </w:pPr>
            <w:r w:rsidRPr="001F021D">
              <w:rPr>
                <w:rFonts w:hint="eastAsia"/>
                <w:sz w:val="21"/>
                <w:szCs w:val="21"/>
              </w:rPr>
              <w:t>1:1.278336308</w:t>
            </w:r>
          </w:p>
        </w:tc>
        <w:tc>
          <w:tcPr>
            <w:tcW w:w="1421" w:type="dxa"/>
          </w:tcPr>
          <w:p w:rsidR="00395FE1" w:rsidRPr="001F021D" w:rsidRDefault="00224471" w:rsidP="00395FE1">
            <w:pPr>
              <w:spacing w:line="360" w:lineRule="auto"/>
              <w:ind w:firstLineChars="0" w:firstLine="0"/>
              <w:rPr>
                <w:sz w:val="21"/>
                <w:szCs w:val="21"/>
              </w:rPr>
            </w:pPr>
            <w:r w:rsidRPr="001F021D">
              <w:rPr>
                <w:rFonts w:hint="eastAsia"/>
                <w:sz w:val="21"/>
                <w:szCs w:val="21"/>
              </w:rPr>
              <w:t>万家添利（</w:t>
            </w:r>
            <w:r w:rsidRPr="001F021D">
              <w:rPr>
                <w:rFonts w:hint="eastAsia"/>
                <w:sz w:val="21"/>
                <w:szCs w:val="21"/>
              </w:rPr>
              <w:t>LOF</w:t>
            </w:r>
            <w:r w:rsidRPr="001F021D">
              <w:rPr>
                <w:rFonts w:hint="eastAsia"/>
                <w:sz w:val="21"/>
                <w:szCs w:val="21"/>
              </w:rPr>
              <w:t>）</w:t>
            </w:r>
          </w:p>
        </w:tc>
        <w:tc>
          <w:tcPr>
            <w:tcW w:w="1421" w:type="dxa"/>
          </w:tcPr>
          <w:p w:rsidR="00395FE1" w:rsidRPr="001F021D" w:rsidRDefault="00782001" w:rsidP="00395FE1">
            <w:pPr>
              <w:spacing w:line="360" w:lineRule="auto"/>
              <w:ind w:firstLineChars="0" w:firstLine="0"/>
              <w:rPr>
                <w:sz w:val="21"/>
                <w:szCs w:val="21"/>
              </w:rPr>
            </w:pPr>
            <w:r w:rsidRPr="001F021D">
              <w:rPr>
                <w:rFonts w:hint="eastAsia"/>
                <w:sz w:val="21"/>
                <w:szCs w:val="21"/>
              </w:rPr>
              <w:t>988,500,916.27</w:t>
            </w:r>
          </w:p>
        </w:tc>
      </w:tr>
    </w:tbl>
    <w:p w:rsidR="001B372B" w:rsidRDefault="001B372B" w:rsidP="007E2F95">
      <w:pPr>
        <w:ind w:firstLine="480"/>
      </w:pPr>
    </w:p>
    <w:p w:rsidR="007E2F95" w:rsidRPr="007E2F95" w:rsidRDefault="007E2F95" w:rsidP="007E2F95">
      <w:pPr>
        <w:ind w:firstLine="420"/>
        <w:rPr>
          <w:kern w:val="0"/>
          <w:sz w:val="21"/>
          <w:szCs w:val="21"/>
        </w:rPr>
      </w:pPr>
      <w:r w:rsidRPr="007E2F95">
        <w:rPr>
          <w:rFonts w:hint="eastAsia"/>
          <w:kern w:val="0"/>
          <w:sz w:val="21"/>
          <w:szCs w:val="21"/>
        </w:rPr>
        <w:t>注：本基金管理人已根据合同约定，对</w:t>
      </w:r>
      <w:r w:rsidR="00395FE1">
        <w:rPr>
          <w:rFonts w:hint="eastAsia"/>
          <w:color w:val="000000"/>
          <w:kern w:val="0"/>
          <w:sz w:val="21"/>
          <w:szCs w:val="21"/>
        </w:rPr>
        <w:t>万家利</w:t>
      </w:r>
      <w:r w:rsidRPr="007E2F95">
        <w:rPr>
          <w:rFonts w:hint="eastAsia"/>
          <w:kern w:val="0"/>
          <w:sz w:val="21"/>
          <w:szCs w:val="21"/>
        </w:rPr>
        <w:t>A</w:t>
      </w:r>
      <w:r w:rsidRPr="007E2F95">
        <w:rPr>
          <w:rFonts w:hint="eastAsia"/>
          <w:kern w:val="0"/>
          <w:sz w:val="21"/>
          <w:szCs w:val="21"/>
        </w:rPr>
        <w:t>、</w:t>
      </w:r>
      <w:r w:rsidR="00395FE1">
        <w:rPr>
          <w:rFonts w:hint="eastAsia"/>
          <w:kern w:val="0"/>
          <w:sz w:val="21"/>
          <w:szCs w:val="21"/>
        </w:rPr>
        <w:t>万家利</w:t>
      </w:r>
      <w:r w:rsidRPr="007E2F95">
        <w:rPr>
          <w:rFonts w:hint="eastAsia"/>
          <w:kern w:val="0"/>
          <w:sz w:val="21"/>
          <w:szCs w:val="21"/>
        </w:rPr>
        <w:t>B</w:t>
      </w:r>
      <w:r w:rsidRPr="007E2F95">
        <w:rPr>
          <w:rFonts w:hint="eastAsia"/>
          <w:kern w:val="0"/>
          <w:sz w:val="21"/>
          <w:szCs w:val="21"/>
        </w:rPr>
        <w:t>的份额持有人的基金份额进行了计算，并由本基金管理人向中国证券登记结算有限责任公司提交份额变更登记申请。</w:t>
      </w:r>
    </w:p>
    <w:p w:rsidR="007E2F95" w:rsidRPr="007E2F95" w:rsidRDefault="007E2F95" w:rsidP="007E2F95">
      <w:pPr>
        <w:ind w:firstLine="420"/>
        <w:rPr>
          <w:kern w:val="0"/>
          <w:sz w:val="21"/>
          <w:szCs w:val="21"/>
        </w:rPr>
      </w:pPr>
      <w:r w:rsidRPr="007E2F95">
        <w:rPr>
          <w:rFonts w:hint="eastAsia"/>
          <w:kern w:val="0"/>
          <w:sz w:val="21"/>
          <w:szCs w:val="21"/>
        </w:rPr>
        <w:t>投资者可于</w:t>
      </w:r>
      <w:r w:rsidRPr="007E2F95">
        <w:rPr>
          <w:rFonts w:hint="eastAsia"/>
          <w:kern w:val="0"/>
          <w:sz w:val="21"/>
          <w:szCs w:val="21"/>
        </w:rPr>
        <w:t>2014</w:t>
      </w:r>
      <w:r w:rsidRPr="007E2F95">
        <w:rPr>
          <w:rFonts w:hint="eastAsia"/>
          <w:kern w:val="0"/>
          <w:sz w:val="21"/>
          <w:szCs w:val="21"/>
        </w:rPr>
        <w:t>年</w:t>
      </w:r>
      <w:r w:rsidR="00395FE1">
        <w:rPr>
          <w:rFonts w:hint="eastAsia"/>
          <w:kern w:val="0"/>
          <w:sz w:val="21"/>
          <w:szCs w:val="21"/>
        </w:rPr>
        <w:t>6</w:t>
      </w:r>
      <w:r w:rsidRPr="007E2F95">
        <w:rPr>
          <w:rFonts w:hint="eastAsia"/>
          <w:kern w:val="0"/>
          <w:sz w:val="21"/>
          <w:szCs w:val="21"/>
        </w:rPr>
        <w:t>月</w:t>
      </w:r>
      <w:r w:rsidR="008E2823">
        <w:rPr>
          <w:rFonts w:hint="eastAsia"/>
          <w:kern w:val="0"/>
          <w:sz w:val="21"/>
          <w:szCs w:val="21"/>
        </w:rPr>
        <w:t>5</w:t>
      </w:r>
      <w:r w:rsidRPr="007E2F95">
        <w:rPr>
          <w:rFonts w:hint="eastAsia"/>
          <w:kern w:val="0"/>
          <w:sz w:val="21"/>
          <w:szCs w:val="21"/>
        </w:rPr>
        <w:t>日起（含该日）可在相关证券公司和各销售网点查询转换后的份额。</w:t>
      </w:r>
    </w:p>
    <w:p w:rsidR="00395FE1" w:rsidRDefault="00395FE1" w:rsidP="00395FE1">
      <w:pPr>
        <w:ind w:firstLine="420"/>
        <w:rPr>
          <w:kern w:val="0"/>
          <w:sz w:val="21"/>
          <w:szCs w:val="21"/>
        </w:rPr>
      </w:pPr>
      <w:r w:rsidRPr="00395FE1">
        <w:rPr>
          <w:rFonts w:hint="eastAsia"/>
          <w:kern w:val="0"/>
          <w:sz w:val="21"/>
          <w:szCs w:val="21"/>
        </w:rPr>
        <w:t>投资者欲了解详细情况，可登录本公司网站（</w:t>
      </w:r>
      <w:r w:rsidRPr="00395FE1">
        <w:rPr>
          <w:kern w:val="0"/>
          <w:sz w:val="21"/>
          <w:szCs w:val="21"/>
        </w:rPr>
        <w:t>www.wjasset.com</w:t>
      </w:r>
      <w:r w:rsidRPr="00395FE1">
        <w:rPr>
          <w:rFonts w:hint="eastAsia"/>
          <w:kern w:val="0"/>
          <w:sz w:val="21"/>
          <w:szCs w:val="21"/>
        </w:rPr>
        <w:t>）或者拨打本公司的客</w:t>
      </w:r>
      <w:r w:rsidRPr="00395FE1">
        <w:rPr>
          <w:rFonts w:hint="eastAsia"/>
          <w:kern w:val="0"/>
          <w:sz w:val="21"/>
          <w:szCs w:val="21"/>
        </w:rPr>
        <w:lastRenderedPageBreak/>
        <w:t>户服务电话：</w:t>
      </w:r>
      <w:r w:rsidRPr="00395FE1">
        <w:rPr>
          <w:kern w:val="0"/>
          <w:sz w:val="21"/>
          <w:szCs w:val="21"/>
        </w:rPr>
        <w:t>400-888-0800</w:t>
      </w:r>
      <w:r w:rsidRPr="00395FE1">
        <w:rPr>
          <w:rFonts w:hint="eastAsia"/>
          <w:kern w:val="0"/>
          <w:sz w:val="21"/>
          <w:szCs w:val="21"/>
        </w:rPr>
        <w:t>（免长途话费）咨询相关事宜。</w:t>
      </w:r>
    </w:p>
    <w:p w:rsidR="00395FE1" w:rsidRPr="00395FE1" w:rsidRDefault="00395FE1" w:rsidP="00395FE1">
      <w:pPr>
        <w:ind w:firstLine="420"/>
        <w:rPr>
          <w:kern w:val="0"/>
          <w:sz w:val="21"/>
          <w:szCs w:val="21"/>
        </w:rPr>
      </w:pPr>
    </w:p>
    <w:p w:rsidR="007E2F95" w:rsidRPr="007E2F95" w:rsidRDefault="007E2F95" w:rsidP="007E2F95">
      <w:pPr>
        <w:ind w:firstLine="420"/>
        <w:rPr>
          <w:kern w:val="0"/>
          <w:sz w:val="21"/>
          <w:szCs w:val="21"/>
        </w:rPr>
      </w:pPr>
      <w:r w:rsidRPr="007E2F95">
        <w:rPr>
          <w:rFonts w:hint="eastAsia"/>
          <w:kern w:val="0"/>
          <w:sz w:val="21"/>
          <w:szCs w:val="21"/>
        </w:rPr>
        <w:t>特此公告。</w:t>
      </w:r>
    </w:p>
    <w:p w:rsidR="007E2F95" w:rsidRPr="007E2F95" w:rsidRDefault="007E2F95" w:rsidP="007E2F95">
      <w:pPr>
        <w:ind w:firstLine="420"/>
        <w:rPr>
          <w:kern w:val="0"/>
          <w:sz w:val="21"/>
          <w:szCs w:val="21"/>
        </w:rPr>
      </w:pPr>
      <w:r w:rsidRPr="007E2F95">
        <w:rPr>
          <w:rFonts w:hint="eastAsia"/>
          <w:kern w:val="0"/>
          <w:sz w:val="21"/>
          <w:szCs w:val="21"/>
        </w:rPr>
        <w:t> </w:t>
      </w:r>
    </w:p>
    <w:p w:rsidR="007E2F95" w:rsidRPr="007E2F95" w:rsidRDefault="00395FE1" w:rsidP="00395FE1">
      <w:pPr>
        <w:ind w:firstLine="420"/>
        <w:jc w:val="right"/>
        <w:rPr>
          <w:kern w:val="0"/>
          <w:sz w:val="21"/>
          <w:szCs w:val="21"/>
        </w:rPr>
      </w:pPr>
      <w:r>
        <w:rPr>
          <w:rFonts w:hint="eastAsia"/>
          <w:kern w:val="0"/>
          <w:sz w:val="21"/>
          <w:szCs w:val="21"/>
        </w:rPr>
        <w:t>万家</w:t>
      </w:r>
      <w:r w:rsidR="007E2F95" w:rsidRPr="007E2F95">
        <w:rPr>
          <w:rFonts w:hint="eastAsia"/>
          <w:kern w:val="0"/>
          <w:sz w:val="21"/>
          <w:szCs w:val="21"/>
        </w:rPr>
        <w:t>基金管理有限公司</w:t>
      </w:r>
    </w:p>
    <w:p w:rsidR="007E2F95" w:rsidRPr="007E2F95" w:rsidRDefault="00395FE1" w:rsidP="00395FE1">
      <w:pPr>
        <w:ind w:firstLine="420"/>
        <w:jc w:val="right"/>
        <w:rPr>
          <w:kern w:val="0"/>
          <w:sz w:val="21"/>
          <w:szCs w:val="21"/>
        </w:rPr>
      </w:pPr>
      <w:r>
        <w:rPr>
          <w:rFonts w:hint="eastAsia"/>
          <w:kern w:val="0"/>
          <w:sz w:val="21"/>
          <w:szCs w:val="21"/>
        </w:rPr>
        <w:t>2014</w:t>
      </w:r>
      <w:r w:rsidR="007E2F95" w:rsidRPr="007E2F95">
        <w:rPr>
          <w:rFonts w:hint="eastAsia"/>
          <w:kern w:val="0"/>
          <w:sz w:val="21"/>
          <w:szCs w:val="21"/>
        </w:rPr>
        <w:t>年</w:t>
      </w:r>
      <w:r>
        <w:rPr>
          <w:rFonts w:hint="eastAsia"/>
          <w:kern w:val="0"/>
          <w:sz w:val="21"/>
          <w:szCs w:val="21"/>
        </w:rPr>
        <w:t>6</w:t>
      </w:r>
      <w:r w:rsidR="007E2F95" w:rsidRPr="007E2F95">
        <w:rPr>
          <w:rFonts w:hint="eastAsia"/>
          <w:kern w:val="0"/>
          <w:sz w:val="21"/>
          <w:szCs w:val="21"/>
        </w:rPr>
        <w:t>月</w:t>
      </w:r>
      <w:r>
        <w:rPr>
          <w:rFonts w:hint="eastAsia"/>
          <w:kern w:val="0"/>
          <w:sz w:val="21"/>
          <w:szCs w:val="21"/>
        </w:rPr>
        <w:t>5</w:t>
      </w:r>
      <w:r w:rsidR="007E2F95" w:rsidRPr="007E2F95">
        <w:rPr>
          <w:rFonts w:hint="eastAsia"/>
          <w:kern w:val="0"/>
          <w:sz w:val="21"/>
          <w:szCs w:val="21"/>
        </w:rPr>
        <w:t>日</w:t>
      </w:r>
    </w:p>
    <w:p w:rsidR="007E2F95" w:rsidRPr="007E2F95" w:rsidRDefault="007E2F95" w:rsidP="00395FE1">
      <w:pPr>
        <w:ind w:firstLine="480"/>
        <w:jc w:val="right"/>
      </w:pPr>
    </w:p>
    <w:sectPr w:rsidR="007E2F95" w:rsidRPr="007E2F95" w:rsidSect="003051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73A" w:rsidRDefault="002F573A" w:rsidP="006A3F0E">
      <w:pPr>
        <w:spacing w:line="240" w:lineRule="auto"/>
        <w:ind w:firstLine="480"/>
      </w:pPr>
      <w:r>
        <w:separator/>
      </w:r>
    </w:p>
  </w:endnote>
  <w:endnote w:type="continuationSeparator" w:id="1">
    <w:p w:rsidR="002F573A" w:rsidRDefault="002F573A" w:rsidP="006A3F0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1D" w:rsidRDefault="001F021D" w:rsidP="001F021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1123"/>
      <w:docPartObj>
        <w:docPartGallery w:val="Page Numbers (Bottom of Page)"/>
        <w:docPartUnique/>
      </w:docPartObj>
    </w:sdtPr>
    <w:sdtContent>
      <w:p w:rsidR="00321862" w:rsidRDefault="00C91820" w:rsidP="00D71FF7">
        <w:pPr>
          <w:pStyle w:val="a4"/>
          <w:ind w:firstLine="360"/>
          <w:jc w:val="center"/>
        </w:pPr>
        <w:fldSimple w:instr=" PAGE   \* MERGEFORMAT ">
          <w:r w:rsidR="008E2823" w:rsidRPr="008E2823">
            <w:rPr>
              <w:noProof/>
              <w:lang w:val="zh-CN"/>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1D" w:rsidRDefault="001F021D" w:rsidP="001F021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73A" w:rsidRDefault="002F573A" w:rsidP="006A3F0E">
      <w:pPr>
        <w:spacing w:line="240" w:lineRule="auto"/>
        <w:ind w:firstLine="480"/>
      </w:pPr>
      <w:r>
        <w:separator/>
      </w:r>
    </w:p>
  </w:footnote>
  <w:footnote w:type="continuationSeparator" w:id="1">
    <w:p w:rsidR="002F573A" w:rsidRDefault="002F573A" w:rsidP="006A3F0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1D" w:rsidRDefault="001F021D" w:rsidP="001F021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1D" w:rsidRDefault="001F021D" w:rsidP="001F021D">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1D" w:rsidRDefault="001F021D" w:rsidP="001F021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5pt;height:11.55pt" o:bullet="t">
        <v:imagedata r:id="rId1" o:title="mso6E44"/>
      </v:shape>
    </w:pict>
  </w:numPicBullet>
  <w:abstractNum w:abstractNumId="0">
    <w:nsid w:val="064A7B99"/>
    <w:multiLevelType w:val="hybridMultilevel"/>
    <w:tmpl w:val="E2509B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1D6762"/>
    <w:multiLevelType w:val="hybridMultilevel"/>
    <w:tmpl w:val="9662C4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897610"/>
    <w:multiLevelType w:val="hybridMultilevel"/>
    <w:tmpl w:val="7804AC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285AC0"/>
    <w:multiLevelType w:val="hybridMultilevel"/>
    <w:tmpl w:val="E41CC7C4"/>
    <w:lvl w:ilvl="0" w:tplc="81066540">
      <w:start w:val="1"/>
      <w:numFmt w:val="decimal"/>
      <w:pStyle w:val="4"/>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0A73EB"/>
    <w:multiLevelType w:val="hybridMultilevel"/>
    <w:tmpl w:val="5E765108"/>
    <w:lvl w:ilvl="0" w:tplc="04090001">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3">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B481B1E"/>
    <w:multiLevelType w:val="hybridMultilevel"/>
    <w:tmpl w:val="C2EEA3C6"/>
    <w:lvl w:ilvl="0" w:tplc="062C1226">
      <w:start w:val="1"/>
      <w:numFmt w:val="chineseCountingThousand"/>
      <w:pStyle w:val="1"/>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991F31"/>
    <w:multiLevelType w:val="hybridMultilevel"/>
    <w:tmpl w:val="39B8BC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FE0BBB"/>
    <w:multiLevelType w:val="hybridMultilevel"/>
    <w:tmpl w:val="FB22DD84"/>
    <w:lvl w:ilvl="0" w:tplc="92E27226">
      <w:start w:val="1"/>
      <w:numFmt w:val="chineseCountingThousand"/>
      <w:pStyle w:val="2"/>
      <w:suff w:val="space"/>
      <w:lvlText w:val="（%1）"/>
      <w:lvlJc w:val="left"/>
      <w:pPr>
        <w:ind w:left="420" w:hanging="420"/>
      </w:pPr>
      <w:rPr>
        <w:rFonts w:hint="eastAsia"/>
      </w:rPr>
    </w:lvl>
    <w:lvl w:ilvl="1" w:tplc="04090019" w:tentative="1">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8">
    <w:nsid w:val="62830B23"/>
    <w:multiLevelType w:val="hybridMultilevel"/>
    <w:tmpl w:val="7FB6F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B344B2"/>
    <w:multiLevelType w:val="hybridMultilevel"/>
    <w:tmpl w:val="E4285A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0A5145"/>
    <w:multiLevelType w:val="hybridMultilevel"/>
    <w:tmpl w:val="FFB8C436"/>
    <w:lvl w:ilvl="0" w:tplc="04090009">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5" w:tentative="1">
      <w:start w:val="1"/>
      <w:numFmt w:val="lowerRoman"/>
      <w:lvlText w:val="%3."/>
      <w:lvlJc w:val="right"/>
      <w:pPr>
        <w:ind w:left="2520" w:hanging="420"/>
      </w:pPr>
    </w:lvl>
    <w:lvl w:ilvl="3" w:tplc="04090001" w:tentative="1">
      <w:start w:val="1"/>
      <w:numFmt w:val="decimal"/>
      <w:lvlText w:val="%4."/>
      <w:lvlJc w:val="left"/>
      <w:pPr>
        <w:ind w:left="2940" w:hanging="420"/>
      </w:pPr>
    </w:lvl>
    <w:lvl w:ilvl="4" w:tplc="04090003" w:tentative="1">
      <w:start w:val="1"/>
      <w:numFmt w:val="lowerLetter"/>
      <w:lvlText w:val="%5)"/>
      <w:lvlJc w:val="left"/>
      <w:pPr>
        <w:ind w:left="3360" w:hanging="420"/>
      </w:pPr>
    </w:lvl>
    <w:lvl w:ilvl="5" w:tplc="04090005" w:tentative="1">
      <w:start w:val="1"/>
      <w:numFmt w:val="lowerRoman"/>
      <w:lvlText w:val="%6."/>
      <w:lvlJc w:val="right"/>
      <w:pPr>
        <w:ind w:left="3780" w:hanging="420"/>
      </w:pPr>
    </w:lvl>
    <w:lvl w:ilvl="6" w:tplc="04090001" w:tentative="1">
      <w:start w:val="1"/>
      <w:numFmt w:val="decimal"/>
      <w:lvlText w:val="%7."/>
      <w:lvlJc w:val="left"/>
      <w:pPr>
        <w:ind w:left="4200" w:hanging="420"/>
      </w:pPr>
    </w:lvl>
    <w:lvl w:ilvl="7" w:tplc="04090003" w:tentative="1">
      <w:start w:val="1"/>
      <w:numFmt w:val="lowerLetter"/>
      <w:lvlText w:val="%8)"/>
      <w:lvlJc w:val="left"/>
      <w:pPr>
        <w:ind w:left="4620" w:hanging="420"/>
      </w:pPr>
    </w:lvl>
    <w:lvl w:ilvl="8" w:tplc="04090005" w:tentative="1">
      <w:start w:val="1"/>
      <w:numFmt w:val="lowerRoman"/>
      <w:lvlText w:val="%9."/>
      <w:lvlJc w:val="right"/>
      <w:pPr>
        <w:ind w:left="5040" w:hanging="420"/>
      </w:pPr>
    </w:lvl>
  </w:abstractNum>
  <w:abstractNum w:abstractNumId="11">
    <w:nsid w:val="717E46DC"/>
    <w:multiLevelType w:val="hybridMultilevel"/>
    <w:tmpl w:val="48204EC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5E4E16"/>
    <w:multiLevelType w:val="hybridMultilevel"/>
    <w:tmpl w:val="ADF65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CC0144"/>
    <w:multiLevelType w:val="hybridMultilevel"/>
    <w:tmpl w:val="5AF4B28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CE81521"/>
    <w:multiLevelType w:val="hybridMultilevel"/>
    <w:tmpl w:val="4EF44452"/>
    <w:lvl w:ilvl="0" w:tplc="7AE8AD14">
      <w:start w:val="1"/>
      <w:numFmt w:val="decimal"/>
      <w:pStyle w:val="3"/>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10"/>
    <w:lvlOverride w:ilvl="0">
      <w:startOverride w:val="1"/>
    </w:lvlOverride>
  </w:num>
  <w:num w:numId="4">
    <w:abstractNumId w:val="3"/>
  </w:num>
  <w:num w:numId="5">
    <w:abstractNumId w:val="7"/>
  </w:num>
  <w:num w:numId="6">
    <w:abstractNumId w:val="7"/>
    <w:lvlOverride w:ilvl="0">
      <w:startOverride w:val="1"/>
    </w:lvlOverride>
  </w:num>
  <w:num w:numId="7">
    <w:abstractNumId w:val="7"/>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3"/>
  </w:num>
  <w:num w:numId="17">
    <w:abstractNumId w:val="7"/>
    <w:lvlOverride w:ilvl="0">
      <w:startOverride w:val="1"/>
    </w:lvlOverride>
  </w:num>
  <w:num w:numId="18">
    <w:abstractNumId w:val="10"/>
  </w:num>
  <w:num w:numId="19">
    <w:abstractNumId w:val="4"/>
  </w:num>
  <w:num w:numId="20">
    <w:abstractNumId w:val="6"/>
  </w:num>
  <w:num w:numId="21">
    <w:abstractNumId w:val="0"/>
  </w:num>
  <w:num w:numId="22">
    <w:abstractNumId w:val="2"/>
  </w:num>
  <w:num w:numId="23">
    <w:abstractNumId w:val="8"/>
  </w:num>
  <w:num w:numId="24">
    <w:abstractNumId w:val="12"/>
  </w:num>
  <w:num w:numId="25">
    <w:abstractNumId w:val="9"/>
  </w:num>
  <w:num w:numId="26">
    <w:abstractNumId w:val="1"/>
  </w:num>
  <w:num w:numId="27">
    <w:abstractNumId w:val="11"/>
  </w:num>
  <w:num w:numId="28">
    <w:abstractNumId w:val="14"/>
  </w:num>
  <w:num w:numId="29">
    <w:abstractNumId w:val="14"/>
    <w:lvlOverride w:ilvl="0">
      <w:startOverride w:val="1"/>
    </w:lvlOverride>
  </w:num>
  <w:num w:numId="30">
    <w:abstractNumId w:val="14"/>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FE1"/>
    <w:rsid w:val="000002F1"/>
    <w:rsid w:val="00002948"/>
    <w:rsid w:val="00012F66"/>
    <w:rsid w:val="00013515"/>
    <w:rsid w:val="00016CB2"/>
    <w:rsid w:val="0002174E"/>
    <w:rsid w:val="00021F3B"/>
    <w:rsid w:val="00030DF0"/>
    <w:rsid w:val="00030FDE"/>
    <w:rsid w:val="00032682"/>
    <w:rsid w:val="00037D49"/>
    <w:rsid w:val="00043F39"/>
    <w:rsid w:val="00056E17"/>
    <w:rsid w:val="000601FC"/>
    <w:rsid w:val="00061174"/>
    <w:rsid w:val="000623BA"/>
    <w:rsid w:val="00065D2B"/>
    <w:rsid w:val="00066624"/>
    <w:rsid w:val="00071CA1"/>
    <w:rsid w:val="00072B80"/>
    <w:rsid w:val="000858D0"/>
    <w:rsid w:val="00086AE3"/>
    <w:rsid w:val="00092C93"/>
    <w:rsid w:val="000953CE"/>
    <w:rsid w:val="00096270"/>
    <w:rsid w:val="0009768F"/>
    <w:rsid w:val="000978DD"/>
    <w:rsid w:val="00097E99"/>
    <w:rsid w:val="000A3B4A"/>
    <w:rsid w:val="000A5E57"/>
    <w:rsid w:val="000A64CB"/>
    <w:rsid w:val="000B4BFC"/>
    <w:rsid w:val="000B6482"/>
    <w:rsid w:val="000B7C05"/>
    <w:rsid w:val="000C2A4A"/>
    <w:rsid w:val="000D242A"/>
    <w:rsid w:val="000D28A4"/>
    <w:rsid w:val="000D365E"/>
    <w:rsid w:val="000D7B9B"/>
    <w:rsid w:val="000E0A53"/>
    <w:rsid w:val="000F1587"/>
    <w:rsid w:val="000F1C8E"/>
    <w:rsid w:val="000F3013"/>
    <w:rsid w:val="000F55C9"/>
    <w:rsid w:val="0010164B"/>
    <w:rsid w:val="00101E6E"/>
    <w:rsid w:val="00103F8B"/>
    <w:rsid w:val="001203D9"/>
    <w:rsid w:val="0012631C"/>
    <w:rsid w:val="00126594"/>
    <w:rsid w:val="001266CC"/>
    <w:rsid w:val="001273BD"/>
    <w:rsid w:val="001325B1"/>
    <w:rsid w:val="00132758"/>
    <w:rsid w:val="00135ECF"/>
    <w:rsid w:val="0014115E"/>
    <w:rsid w:val="001420CF"/>
    <w:rsid w:val="0014244B"/>
    <w:rsid w:val="00144EB7"/>
    <w:rsid w:val="00145439"/>
    <w:rsid w:val="001467E3"/>
    <w:rsid w:val="00147845"/>
    <w:rsid w:val="00154207"/>
    <w:rsid w:val="0015517C"/>
    <w:rsid w:val="00170905"/>
    <w:rsid w:val="00171A57"/>
    <w:rsid w:val="001725F7"/>
    <w:rsid w:val="00173C74"/>
    <w:rsid w:val="00184C42"/>
    <w:rsid w:val="001A17F1"/>
    <w:rsid w:val="001A2C88"/>
    <w:rsid w:val="001A3E4B"/>
    <w:rsid w:val="001A5727"/>
    <w:rsid w:val="001B2123"/>
    <w:rsid w:val="001B372B"/>
    <w:rsid w:val="001C06D1"/>
    <w:rsid w:val="001C0F65"/>
    <w:rsid w:val="001C7045"/>
    <w:rsid w:val="001D1451"/>
    <w:rsid w:val="001D364B"/>
    <w:rsid w:val="001D3D49"/>
    <w:rsid w:val="001D68DD"/>
    <w:rsid w:val="001E6DCC"/>
    <w:rsid w:val="001F021D"/>
    <w:rsid w:val="001F0DC1"/>
    <w:rsid w:val="001F390A"/>
    <w:rsid w:val="001F6E42"/>
    <w:rsid w:val="001F72A2"/>
    <w:rsid w:val="0020782D"/>
    <w:rsid w:val="00221B32"/>
    <w:rsid w:val="002225D4"/>
    <w:rsid w:val="00224471"/>
    <w:rsid w:val="00227670"/>
    <w:rsid w:val="00235973"/>
    <w:rsid w:val="00241471"/>
    <w:rsid w:val="002415FA"/>
    <w:rsid w:val="00255CB4"/>
    <w:rsid w:val="00262675"/>
    <w:rsid w:val="002649DB"/>
    <w:rsid w:val="00273DE1"/>
    <w:rsid w:val="00275DBE"/>
    <w:rsid w:val="00277C78"/>
    <w:rsid w:val="00295F58"/>
    <w:rsid w:val="002A3415"/>
    <w:rsid w:val="002A56C9"/>
    <w:rsid w:val="002B154A"/>
    <w:rsid w:val="002B4989"/>
    <w:rsid w:val="002B7F00"/>
    <w:rsid w:val="002C1080"/>
    <w:rsid w:val="002C13BB"/>
    <w:rsid w:val="002C2863"/>
    <w:rsid w:val="002C6D41"/>
    <w:rsid w:val="002D3415"/>
    <w:rsid w:val="002D3DD0"/>
    <w:rsid w:val="002D5EB9"/>
    <w:rsid w:val="002D74F2"/>
    <w:rsid w:val="002D7D52"/>
    <w:rsid w:val="002D7D8B"/>
    <w:rsid w:val="002E0DB6"/>
    <w:rsid w:val="002E2300"/>
    <w:rsid w:val="002F2A55"/>
    <w:rsid w:val="002F573A"/>
    <w:rsid w:val="002F7361"/>
    <w:rsid w:val="00301D65"/>
    <w:rsid w:val="00305164"/>
    <w:rsid w:val="00310529"/>
    <w:rsid w:val="00314A8E"/>
    <w:rsid w:val="00321862"/>
    <w:rsid w:val="0032297F"/>
    <w:rsid w:val="0033572A"/>
    <w:rsid w:val="00336A0B"/>
    <w:rsid w:val="00337B7E"/>
    <w:rsid w:val="00342189"/>
    <w:rsid w:val="00350D62"/>
    <w:rsid w:val="0036208F"/>
    <w:rsid w:val="00365966"/>
    <w:rsid w:val="00366A5D"/>
    <w:rsid w:val="00366F12"/>
    <w:rsid w:val="0036786D"/>
    <w:rsid w:val="00367E6C"/>
    <w:rsid w:val="00372FE3"/>
    <w:rsid w:val="003815BE"/>
    <w:rsid w:val="00385B8E"/>
    <w:rsid w:val="00386313"/>
    <w:rsid w:val="0038677C"/>
    <w:rsid w:val="00393B2B"/>
    <w:rsid w:val="00395FE1"/>
    <w:rsid w:val="00396CC7"/>
    <w:rsid w:val="003A3867"/>
    <w:rsid w:val="003A3CF5"/>
    <w:rsid w:val="003B2B33"/>
    <w:rsid w:val="003B6CAD"/>
    <w:rsid w:val="003C663A"/>
    <w:rsid w:val="003D2CE2"/>
    <w:rsid w:val="003E4406"/>
    <w:rsid w:val="003E78D2"/>
    <w:rsid w:val="004052DA"/>
    <w:rsid w:val="00407466"/>
    <w:rsid w:val="004107D8"/>
    <w:rsid w:val="00412019"/>
    <w:rsid w:val="00423CB6"/>
    <w:rsid w:val="004243A5"/>
    <w:rsid w:val="0043208E"/>
    <w:rsid w:val="004439CD"/>
    <w:rsid w:val="00445CC0"/>
    <w:rsid w:val="00457C71"/>
    <w:rsid w:val="00465859"/>
    <w:rsid w:val="004709BE"/>
    <w:rsid w:val="00477F56"/>
    <w:rsid w:val="00484A8C"/>
    <w:rsid w:val="00485569"/>
    <w:rsid w:val="00485983"/>
    <w:rsid w:val="004869FB"/>
    <w:rsid w:val="00486F81"/>
    <w:rsid w:val="004913AD"/>
    <w:rsid w:val="00496E82"/>
    <w:rsid w:val="004A097A"/>
    <w:rsid w:val="004A5FB8"/>
    <w:rsid w:val="004A621C"/>
    <w:rsid w:val="004B527C"/>
    <w:rsid w:val="004B670E"/>
    <w:rsid w:val="004C0972"/>
    <w:rsid w:val="004C4A0D"/>
    <w:rsid w:val="004C5CA6"/>
    <w:rsid w:val="004C6BE9"/>
    <w:rsid w:val="004C7A5E"/>
    <w:rsid w:val="004D7E9D"/>
    <w:rsid w:val="004E23B3"/>
    <w:rsid w:val="004E6B6C"/>
    <w:rsid w:val="004F266F"/>
    <w:rsid w:val="004F6C0B"/>
    <w:rsid w:val="00506BBE"/>
    <w:rsid w:val="005071A1"/>
    <w:rsid w:val="00507F6B"/>
    <w:rsid w:val="0051246C"/>
    <w:rsid w:val="0051633A"/>
    <w:rsid w:val="00517E44"/>
    <w:rsid w:val="0052096C"/>
    <w:rsid w:val="005229E3"/>
    <w:rsid w:val="00522AAC"/>
    <w:rsid w:val="00523689"/>
    <w:rsid w:val="00524D1C"/>
    <w:rsid w:val="005251C8"/>
    <w:rsid w:val="00527263"/>
    <w:rsid w:val="00527A3C"/>
    <w:rsid w:val="00536D2D"/>
    <w:rsid w:val="0054136D"/>
    <w:rsid w:val="00545DCC"/>
    <w:rsid w:val="0054756C"/>
    <w:rsid w:val="00547BF6"/>
    <w:rsid w:val="00551682"/>
    <w:rsid w:val="00566161"/>
    <w:rsid w:val="00572BBE"/>
    <w:rsid w:val="00572C14"/>
    <w:rsid w:val="0057781A"/>
    <w:rsid w:val="0059132A"/>
    <w:rsid w:val="00591E63"/>
    <w:rsid w:val="005A1A81"/>
    <w:rsid w:val="005A5AEE"/>
    <w:rsid w:val="005A60AB"/>
    <w:rsid w:val="005A7658"/>
    <w:rsid w:val="005D06EB"/>
    <w:rsid w:val="005E3B73"/>
    <w:rsid w:val="005E5E98"/>
    <w:rsid w:val="005E63FC"/>
    <w:rsid w:val="005E66EE"/>
    <w:rsid w:val="005E74FC"/>
    <w:rsid w:val="005F7F9B"/>
    <w:rsid w:val="006130AF"/>
    <w:rsid w:val="006162F9"/>
    <w:rsid w:val="00620080"/>
    <w:rsid w:val="00620325"/>
    <w:rsid w:val="00621836"/>
    <w:rsid w:val="00634E4B"/>
    <w:rsid w:val="006355D3"/>
    <w:rsid w:val="00635B2C"/>
    <w:rsid w:val="00642802"/>
    <w:rsid w:val="006430C1"/>
    <w:rsid w:val="00650C87"/>
    <w:rsid w:val="006540DB"/>
    <w:rsid w:val="00656C34"/>
    <w:rsid w:val="00660186"/>
    <w:rsid w:val="00661BA7"/>
    <w:rsid w:val="00663E9A"/>
    <w:rsid w:val="00665B30"/>
    <w:rsid w:val="006741C6"/>
    <w:rsid w:val="00684048"/>
    <w:rsid w:val="006925C2"/>
    <w:rsid w:val="00695E96"/>
    <w:rsid w:val="006A0F80"/>
    <w:rsid w:val="006A3316"/>
    <w:rsid w:val="006A3F0E"/>
    <w:rsid w:val="006A464E"/>
    <w:rsid w:val="006B678D"/>
    <w:rsid w:val="006B7A18"/>
    <w:rsid w:val="006C10B2"/>
    <w:rsid w:val="006D1401"/>
    <w:rsid w:val="006D3008"/>
    <w:rsid w:val="006D36D5"/>
    <w:rsid w:val="006D3EB0"/>
    <w:rsid w:val="006E1A5B"/>
    <w:rsid w:val="006E420D"/>
    <w:rsid w:val="006E4675"/>
    <w:rsid w:val="006E4A5A"/>
    <w:rsid w:val="006F06D9"/>
    <w:rsid w:val="006F70F9"/>
    <w:rsid w:val="00711382"/>
    <w:rsid w:val="007134BA"/>
    <w:rsid w:val="00716C03"/>
    <w:rsid w:val="00723A6E"/>
    <w:rsid w:val="0073311B"/>
    <w:rsid w:val="00734262"/>
    <w:rsid w:val="007345FF"/>
    <w:rsid w:val="007409CF"/>
    <w:rsid w:val="00741738"/>
    <w:rsid w:val="007417C3"/>
    <w:rsid w:val="00753C84"/>
    <w:rsid w:val="00753E34"/>
    <w:rsid w:val="007560D7"/>
    <w:rsid w:val="00765196"/>
    <w:rsid w:val="007666AB"/>
    <w:rsid w:val="0077736B"/>
    <w:rsid w:val="00781969"/>
    <w:rsid w:val="00781EBC"/>
    <w:rsid w:val="00782001"/>
    <w:rsid w:val="007827C0"/>
    <w:rsid w:val="00795113"/>
    <w:rsid w:val="007A346E"/>
    <w:rsid w:val="007B2A45"/>
    <w:rsid w:val="007B34DF"/>
    <w:rsid w:val="007B371E"/>
    <w:rsid w:val="007B3D64"/>
    <w:rsid w:val="007B69BD"/>
    <w:rsid w:val="007C2DE3"/>
    <w:rsid w:val="007C4463"/>
    <w:rsid w:val="007C7B3F"/>
    <w:rsid w:val="007D09C5"/>
    <w:rsid w:val="007D6EFE"/>
    <w:rsid w:val="007E13BB"/>
    <w:rsid w:val="007E2F95"/>
    <w:rsid w:val="007E5400"/>
    <w:rsid w:val="007E6885"/>
    <w:rsid w:val="007F20D9"/>
    <w:rsid w:val="007F3DEA"/>
    <w:rsid w:val="007F47A2"/>
    <w:rsid w:val="00802972"/>
    <w:rsid w:val="00803BB4"/>
    <w:rsid w:val="00813355"/>
    <w:rsid w:val="008163B6"/>
    <w:rsid w:val="00820372"/>
    <w:rsid w:val="00822FC6"/>
    <w:rsid w:val="00823A73"/>
    <w:rsid w:val="008261FA"/>
    <w:rsid w:val="00832DEE"/>
    <w:rsid w:val="00851454"/>
    <w:rsid w:val="00851AC1"/>
    <w:rsid w:val="00860598"/>
    <w:rsid w:val="00871B69"/>
    <w:rsid w:val="00874F05"/>
    <w:rsid w:val="00876098"/>
    <w:rsid w:val="0088203B"/>
    <w:rsid w:val="00882672"/>
    <w:rsid w:val="00885A71"/>
    <w:rsid w:val="008A39DE"/>
    <w:rsid w:val="008B177B"/>
    <w:rsid w:val="008B41D6"/>
    <w:rsid w:val="008D0285"/>
    <w:rsid w:val="008D0BDA"/>
    <w:rsid w:val="008E1538"/>
    <w:rsid w:val="008E16AB"/>
    <w:rsid w:val="008E2823"/>
    <w:rsid w:val="008E3BF8"/>
    <w:rsid w:val="008E6C52"/>
    <w:rsid w:val="008E7F6D"/>
    <w:rsid w:val="008F22A2"/>
    <w:rsid w:val="0090018B"/>
    <w:rsid w:val="00904102"/>
    <w:rsid w:val="0090455F"/>
    <w:rsid w:val="00910385"/>
    <w:rsid w:val="00911C71"/>
    <w:rsid w:val="009128A5"/>
    <w:rsid w:val="009203C8"/>
    <w:rsid w:val="009213CF"/>
    <w:rsid w:val="009248AE"/>
    <w:rsid w:val="00927547"/>
    <w:rsid w:val="00943898"/>
    <w:rsid w:val="00955C8D"/>
    <w:rsid w:val="00961885"/>
    <w:rsid w:val="00961CD8"/>
    <w:rsid w:val="0096283E"/>
    <w:rsid w:val="00965EEF"/>
    <w:rsid w:val="009662DB"/>
    <w:rsid w:val="00976F61"/>
    <w:rsid w:val="00977B1A"/>
    <w:rsid w:val="00984071"/>
    <w:rsid w:val="00991727"/>
    <w:rsid w:val="00993403"/>
    <w:rsid w:val="009942D4"/>
    <w:rsid w:val="00997E0D"/>
    <w:rsid w:val="009C1166"/>
    <w:rsid w:val="009C2B6A"/>
    <w:rsid w:val="009C336C"/>
    <w:rsid w:val="009C5C1C"/>
    <w:rsid w:val="009E2F3F"/>
    <w:rsid w:val="009E7D8F"/>
    <w:rsid w:val="009F1712"/>
    <w:rsid w:val="00A104FC"/>
    <w:rsid w:val="00A14CC5"/>
    <w:rsid w:val="00A22F74"/>
    <w:rsid w:val="00A25645"/>
    <w:rsid w:val="00A30278"/>
    <w:rsid w:val="00A3174D"/>
    <w:rsid w:val="00A36604"/>
    <w:rsid w:val="00A419EC"/>
    <w:rsid w:val="00A4230A"/>
    <w:rsid w:val="00A56A81"/>
    <w:rsid w:val="00A624CA"/>
    <w:rsid w:val="00A62FEC"/>
    <w:rsid w:val="00A70464"/>
    <w:rsid w:val="00A713B0"/>
    <w:rsid w:val="00A71903"/>
    <w:rsid w:val="00A84EAF"/>
    <w:rsid w:val="00A8580A"/>
    <w:rsid w:val="00A90CEC"/>
    <w:rsid w:val="00A91ECC"/>
    <w:rsid w:val="00A9622B"/>
    <w:rsid w:val="00AA3003"/>
    <w:rsid w:val="00AA60A8"/>
    <w:rsid w:val="00AB16ED"/>
    <w:rsid w:val="00AB2FC3"/>
    <w:rsid w:val="00AB6F46"/>
    <w:rsid w:val="00AB755F"/>
    <w:rsid w:val="00AC0FAC"/>
    <w:rsid w:val="00AC60D3"/>
    <w:rsid w:val="00AC7750"/>
    <w:rsid w:val="00AD10E0"/>
    <w:rsid w:val="00AD3CFE"/>
    <w:rsid w:val="00AF4197"/>
    <w:rsid w:val="00AF5792"/>
    <w:rsid w:val="00B076B0"/>
    <w:rsid w:val="00B20B75"/>
    <w:rsid w:val="00B21530"/>
    <w:rsid w:val="00B254CB"/>
    <w:rsid w:val="00B31A45"/>
    <w:rsid w:val="00B3551F"/>
    <w:rsid w:val="00B3636B"/>
    <w:rsid w:val="00B44AD3"/>
    <w:rsid w:val="00B47E18"/>
    <w:rsid w:val="00B602DF"/>
    <w:rsid w:val="00B61F71"/>
    <w:rsid w:val="00B61FD9"/>
    <w:rsid w:val="00B75D7A"/>
    <w:rsid w:val="00B802E2"/>
    <w:rsid w:val="00B80F8B"/>
    <w:rsid w:val="00B82617"/>
    <w:rsid w:val="00B8792F"/>
    <w:rsid w:val="00B90BFE"/>
    <w:rsid w:val="00B97788"/>
    <w:rsid w:val="00BB0D40"/>
    <w:rsid w:val="00BB4E94"/>
    <w:rsid w:val="00BC76A3"/>
    <w:rsid w:val="00BD4B05"/>
    <w:rsid w:val="00BD7B5D"/>
    <w:rsid w:val="00BE4E82"/>
    <w:rsid w:val="00BE50A7"/>
    <w:rsid w:val="00BF0A4A"/>
    <w:rsid w:val="00BF0DE1"/>
    <w:rsid w:val="00BF1321"/>
    <w:rsid w:val="00BF1849"/>
    <w:rsid w:val="00BF3BA9"/>
    <w:rsid w:val="00BF77D2"/>
    <w:rsid w:val="00C061D8"/>
    <w:rsid w:val="00C10D9C"/>
    <w:rsid w:val="00C15554"/>
    <w:rsid w:val="00C21584"/>
    <w:rsid w:val="00C37CE4"/>
    <w:rsid w:val="00C543BF"/>
    <w:rsid w:val="00C63D91"/>
    <w:rsid w:val="00C67BEF"/>
    <w:rsid w:val="00C91820"/>
    <w:rsid w:val="00C91E7D"/>
    <w:rsid w:val="00CA1F41"/>
    <w:rsid w:val="00CA3716"/>
    <w:rsid w:val="00CA6C58"/>
    <w:rsid w:val="00CA6DAC"/>
    <w:rsid w:val="00CB7747"/>
    <w:rsid w:val="00CE5A93"/>
    <w:rsid w:val="00CE7D85"/>
    <w:rsid w:val="00CE7DC3"/>
    <w:rsid w:val="00CF1962"/>
    <w:rsid w:val="00CF25A0"/>
    <w:rsid w:val="00CF274B"/>
    <w:rsid w:val="00CF2B7F"/>
    <w:rsid w:val="00D028D7"/>
    <w:rsid w:val="00D031D5"/>
    <w:rsid w:val="00D037FB"/>
    <w:rsid w:val="00D060FC"/>
    <w:rsid w:val="00D0707F"/>
    <w:rsid w:val="00D172AF"/>
    <w:rsid w:val="00D22FD5"/>
    <w:rsid w:val="00D26BE7"/>
    <w:rsid w:val="00D31CF0"/>
    <w:rsid w:val="00D33438"/>
    <w:rsid w:val="00D374A6"/>
    <w:rsid w:val="00D606BD"/>
    <w:rsid w:val="00D637E3"/>
    <w:rsid w:val="00D67B2C"/>
    <w:rsid w:val="00D71FF7"/>
    <w:rsid w:val="00D73BC8"/>
    <w:rsid w:val="00D73FD0"/>
    <w:rsid w:val="00D74B81"/>
    <w:rsid w:val="00D80347"/>
    <w:rsid w:val="00D80795"/>
    <w:rsid w:val="00D87007"/>
    <w:rsid w:val="00D87BC9"/>
    <w:rsid w:val="00D91C5D"/>
    <w:rsid w:val="00D9603A"/>
    <w:rsid w:val="00DA168C"/>
    <w:rsid w:val="00DB125C"/>
    <w:rsid w:val="00DB4761"/>
    <w:rsid w:val="00DB5CAD"/>
    <w:rsid w:val="00DB6B0B"/>
    <w:rsid w:val="00DC2A59"/>
    <w:rsid w:val="00DC3E10"/>
    <w:rsid w:val="00DD1C49"/>
    <w:rsid w:val="00DD1E63"/>
    <w:rsid w:val="00DD2725"/>
    <w:rsid w:val="00DD6E62"/>
    <w:rsid w:val="00DE143A"/>
    <w:rsid w:val="00DE2598"/>
    <w:rsid w:val="00DE4959"/>
    <w:rsid w:val="00DE6411"/>
    <w:rsid w:val="00DE6536"/>
    <w:rsid w:val="00DF023A"/>
    <w:rsid w:val="00DF18D9"/>
    <w:rsid w:val="00DF3E24"/>
    <w:rsid w:val="00DF4ECF"/>
    <w:rsid w:val="00E0030A"/>
    <w:rsid w:val="00E04FB0"/>
    <w:rsid w:val="00E16095"/>
    <w:rsid w:val="00E16FC7"/>
    <w:rsid w:val="00E47784"/>
    <w:rsid w:val="00E52229"/>
    <w:rsid w:val="00E55CC8"/>
    <w:rsid w:val="00E657DB"/>
    <w:rsid w:val="00E83678"/>
    <w:rsid w:val="00E85932"/>
    <w:rsid w:val="00E86AFC"/>
    <w:rsid w:val="00E87C2B"/>
    <w:rsid w:val="00E87E65"/>
    <w:rsid w:val="00EA2828"/>
    <w:rsid w:val="00EA7FC6"/>
    <w:rsid w:val="00EB3803"/>
    <w:rsid w:val="00EC45A3"/>
    <w:rsid w:val="00EC4CFD"/>
    <w:rsid w:val="00EC5162"/>
    <w:rsid w:val="00EC612C"/>
    <w:rsid w:val="00ED211C"/>
    <w:rsid w:val="00ED60DB"/>
    <w:rsid w:val="00ED759A"/>
    <w:rsid w:val="00EF067F"/>
    <w:rsid w:val="00EF772C"/>
    <w:rsid w:val="00F0047D"/>
    <w:rsid w:val="00F14C4A"/>
    <w:rsid w:val="00F14DE9"/>
    <w:rsid w:val="00F21356"/>
    <w:rsid w:val="00F22F6B"/>
    <w:rsid w:val="00F24F05"/>
    <w:rsid w:val="00F27AE4"/>
    <w:rsid w:val="00F30F3B"/>
    <w:rsid w:val="00F44299"/>
    <w:rsid w:val="00F450C4"/>
    <w:rsid w:val="00F460FF"/>
    <w:rsid w:val="00F61FCF"/>
    <w:rsid w:val="00F64A97"/>
    <w:rsid w:val="00F65199"/>
    <w:rsid w:val="00F66AB3"/>
    <w:rsid w:val="00F6766A"/>
    <w:rsid w:val="00F67F9A"/>
    <w:rsid w:val="00F7068A"/>
    <w:rsid w:val="00F71662"/>
    <w:rsid w:val="00F82AF8"/>
    <w:rsid w:val="00F82F14"/>
    <w:rsid w:val="00F911F5"/>
    <w:rsid w:val="00F95FDF"/>
    <w:rsid w:val="00F9649C"/>
    <w:rsid w:val="00FA093A"/>
    <w:rsid w:val="00FB5FFB"/>
    <w:rsid w:val="00FB7470"/>
    <w:rsid w:val="00FC27C4"/>
    <w:rsid w:val="00FC33B8"/>
    <w:rsid w:val="00FD0A44"/>
    <w:rsid w:val="00FD10B3"/>
    <w:rsid w:val="00FD6772"/>
    <w:rsid w:val="00FF0091"/>
    <w:rsid w:val="00FF4DB5"/>
    <w:rsid w:val="00FF599C"/>
    <w:rsid w:val="00FF6BFD"/>
    <w:rsid w:val="00FF7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0E"/>
    <w:pPr>
      <w:widowControl w:val="0"/>
      <w:ind w:firstLineChars="200" w:firstLine="200"/>
    </w:pPr>
    <w:rPr>
      <w:rFonts w:ascii="Times New Roman" w:eastAsia="宋体" w:hAnsi="Times New Roman"/>
      <w:sz w:val="24"/>
    </w:rPr>
  </w:style>
  <w:style w:type="paragraph" w:styleId="1">
    <w:name w:val="heading 1"/>
    <w:aliases w:val="万研一"/>
    <w:basedOn w:val="a"/>
    <w:next w:val="a"/>
    <w:link w:val="1Char"/>
    <w:uiPriority w:val="9"/>
    <w:qFormat/>
    <w:rsid w:val="00D71FF7"/>
    <w:pPr>
      <w:keepNext/>
      <w:keepLines/>
      <w:numPr>
        <w:numId w:val="1"/>
      </w:numPr>
      <w:spacing w:beforeLines="50" w:afterLines="50"/>
      <w:ind w:left="0" w:firstLineChars="0" w:firstLine="0"/>
      <w:outlineLvl w:val="0"/>
    </w:pPr>
    <w:rPr>
      <w:b/>
      <w:bCs/>
      <w:kern w:val="44"/>
      <w:sz w:val="28"/>
      <w:szCs w:val="44"/>
    </w:rPr>
  </w:style>
  <w:style w:type="paragraph" w:styleId="2">
    <w:name w:val="heading 2"/>
    <w:aliases w:val="万研二"/>
    <w:basedOn w:val="a"/>
    <w:next w:val="a"/>
    <w:link w:val="2Char"/>
    <w:uiPriority w:val="9"/>
    <w:unhideWhenUsed/>
    <w:qFormat/>
    <w:rsid w:val="00D71FF7"/>
    <w:pPr>
      <w:keepNext/>
      <w:keepLines/>
      <w:numPr>
        <w:numId w:val="5"/>
      </w:numPr>
      <w:ind w:left="0" w:firstLineChars="0" w:firstLine="0"/>
      <w:outlineLvl w:val="1"/>
    </w:pPr>
    <w:rPr>
      <w:rFonts w:eastAsiaTheme="majorEastAsia" w:cstheme="majorBidi"/>
      <w:bCs/>
      <w:szCs w:val="32"/>
    </w:rPr>
  </w:style>
  <w:style w:type="paragraph" w:styleId="3">
    <w:name w:val="heading 3"/>
    <w:aliases w:val="万研三,万研二级"/>
    <w:basedOn w:val="a"/>
    <w:next w:val="a"/>
    <w:link w:val="3Char"/>
    <w:uiPriority w:val="9"/>
    <w:unhideWhenUsed/>
    <w:qFormat/>
    <w:rsid w:val="00D71FF7"/>
    <w:pPr>
      <w:keepNext/>
      <w:keepLines/>
      <w:numPr>
        <w:numId w:val="28"/>
      </w:numPr>
      <w:ind w:left="0" w:firstLine="200"/>
      <w:outlineLvl w:val="2"/>
    </w:pPr>
    <w:rPr>
      <w:bCs/>
      <w:szCs w:val="32"/>
    </w:rPr>
  </w:style>
  <w:style w:type="paragraph" w:styleId="4">
    <w:name w:val="heading 4"/>
    <w:aliases w:val="万研四"/>
    <w:basedOn w:val="a"/>
    <w:next w:val="a"/>
    <w:link w:val="4Char"/>
    <w:uiPriority w:val="9"/>
    <w:unhideWhenUsed/>
    <w:qFormat/>
    <w:rsid w:val="00D71FF7"/>
    <w:pPr>
      <w:keepNext/>
      <w:keepLines/>
      <w:numPr>
        <w:numId w:val="4"/>
      </w:numPr>
      <w:ind w:left="0" w:firstLine="200"/>
      <w:outlineLvl w:val="3"/>
    </w:pPr>
    <w:rPr>
      <w:rFonts w:eastAsiaTheme="majorEastAsia"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6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C663A"/>
    <w:rPr>
      <w:sz w:val="18"/>
      <w:szCs w:val="18"/>
    </w:rPr>
  </w:style>
  <w:style w:type="paragraph" w:styleId="a4">
    <w:name w:val="footer"/>
    <w:basedOn w:val="a"/>
    <w:link w:val="Char0"/>
    <w:uiPriority w:val="99"/>
    <w:unhideWhenUsed/>
    <w:rsid w:val="003C663A"/>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C663A"/>
    <w:rPr>
      <w:sz w:val="18"/>
      <w:szCs w:val="18"/>
    </w:rPr>
  </w:style>
  <w:style w:type="paragraph" w:styleId="a5">
    <w:name w:val="Balloon Text"/>
    <w:basedOn w:val="a"/>
    <w:link w:val="Char1"/>
    <w:uiPriority w:val="99"/>
    <w:semiHidden/>
    <w:unhideWhenUsed/>
    <w:rsid w:val="001E6DCC"/>
    <w:pPr>
      <w:spacing w:line="240" w:lineRule="auto"/>
    </w:pPr>
    <w:rPr>
      <w:sz w:val="18"/>
      <w:szCs w:val="18"/>
    </w:rPr>
  </w:style>
  <w:style w:type="character" w:customStyle="1" w:styleId="Char1">
    <w:name w:val="批注框文本 Char"/>
    <w:basedOn w:val="a0"/>
    <w:link w:val="a5"/>
    <w:uiPriority w:val="99"/>
    <w:semiHidden/>
    <w:rsid w:val="001E6DCC"/>
    <w:rPr>
      <w:sz w:val="18"/>
      <w:szCs w:val="18"/>
    </w:rPr>
  </w:style>
  <w:style w:type="paragraph" w:styleId="a6">
    <w:name w:val="List Paragraph"/>
    <w:basedOn w:val="a"/>
    <w:uiPriority w:val="34"/>
    <w:qFormat/>
    <w:rsid w:val="00522AAC"/>
    <w:pPr>
      <w:ind w:firstLine="420"/>
    </w:pPr>
  </w:style>
  <w:style w:type="paragraph" w:styleId="a7">
    <w:name w:val="Document Map"/>
    <w:basedOn w:val="a"/>
    <w:link w:val="Char2"/>
    <w:uiPriority w:val="99"/>
    <w:semiHidden/>
    <w:unhideWhenUsed/>
    <w:rsid w:val="007417C3"/>
    <w:rPr>
      <w:rFonts w:ascii="宋体"/>
      <w:sz w:val="18"/>
      <w:szCs w:val="18"/>
    </w:rPr>
  </w:style>
  <w:style w:type="character" w:customStyle="1" w:styleId="Char2">
    <w:name w:val="文档结构图 Char"/>
    <w:basedOn w:val="a0"/>
    <w:link w:val="a7"/>
    <w:uiPriority w:val="99"/>
    <w:semiHidden/>
    <w:rsid w:val="007417C3"/>
    <w:rPr>
      <w:rFonts w:ascii="宋体" w:eastAsia="宋体"/>
      <w:sz w:val="18"/>
      <w:szCs w:val="18"/>
    </w:rPr>
  </w:style>
  <w:style w:type="character" w:customStyle="1" w:styleId="1Char">
    <w:name w:val="标题 1 Char"/>
    <w:aliases w:val="万研一 Char"/>
    <w:basedOn w:val="a0"/>
    <w:link w:val="1"/>
    <w:uiPriority w:val="9"/>
    <w:rsid w:val="00D71FF7"/>
    <w:rPr>
      <w:rFonts w:ascii="Times New Roman" w:eastAsia="宋体" w:hAnsi="Times New Roman"/>
      <w:b/>
      <w:bCs/>
      <w:kern w:val="44"/>
      <w:sz w:val="28"/>
      <w:szCs w:val="44"/>
    </w:rPr>
  </w:style>
  <w:style w:type="character" w:customStyle="1" w:styleId="2Char">
    <w:name w:val="标题 2 Char"/>
    <w:aliases w:val="万研二 Char"/>
    <w:basedOn w:val="a0"/>
    <w:link w:val="2"/>
    <w:uiPriority w:val="9"/>
    <w:rsid w:val="00D71FF7"/>
    <w:rPr>
      <w:rFonts w:ascii="Times New Roman" w:eastAsiaTheme="majorEastAsia" w:hAnsi="Times New Roman" w:cstheme="majorBidi"/>
      <w:bCs/>
      <w:sz w:val="24"/>
      <w:szCs w:val="32"/>
    </w:rPr>
  </w:style>
  <w:style w:type="character" w:customStyle="1" w:styleId="3Char">
    <w:name w:val="标题 3 Char"/>
    <w:aliases w:val="万研三 Char,万研二级 Char"/>
    <w:basedOn w:val="a0"/>
    <w:link w:val="3"/>
    <w:uiPriority w:val="9"/>
    <w:rsid w:val="00D71FF7"/>
    <w:rPr>
      <w:rFonts w:ascii="Times New Roman" w:eastAsia="宋体" w:hAnsi="Times New Roman"/>
      <w:bCs/>
      <w:sz w:val="24"/>
      <w:szCs w:val="32"/>
    </w:rPr>
  </w:style>
  <w:style w:type="character" w:customStyle="1" w:styleId="4Char">
    <w:name w:val="标题 4 Char"/>
    <w:aliases w:val="万研四 Char"/>
    <w:basedOn w:val="a0"/>
    <w:link w:val="4"/>
    <w:uiPriority w:val="9"/>
    <w:rsid w:val="00D71FF7"/>
    <w:rPr>
      <w:rFonts w:ascii="Times New Roman" w:eastAsiaTheme="majorEastAsia" w:hAnsi="Times New Roman" w:cstheme="majorBidi"/>
      <w:bCs/>
      <w:sz w:val="24"/>
      <w:szCs w:val="28"/>
    </w:rPr>
  </w:style>
  <w:style w:type="table" w:styleId="a8">
    <w:name w:val="Table Grid"/>
    <w:basedOn w:val="a1"/>
    <w:uiPriority w:val="59"/>
    <w:rsid w:val="004052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浅色底纹 - 强调文字颜色 11"/>
    <w:basedOn w:val="a1"/>
    <w:uiPriority w:val="60"/>
    <w:rsid w:val="00656C34"/>
    <w:pPr>
      <w:spacing w:line="240" w:lineRule="auto"/>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footnote text"/>
    <w:basedOn w:val="a"/>
    <w:link w:val="Char3"/>
    <w:semiHidden/>
    <w:rsid w:val="00656C34"/>
    <w:pPr>
      <w:snapToGrid w:val="0"/>
      <w:spacing w:line="240" w:lineRule="auto"/>
      <w:jc w:val="left"/>
    </w:pPr>
    <w:rPr>
      <w:rFonts w:cs="Times New Roman"/>
      <w:sz w:val="18"/>
      <w:szCs w:val="18"/>
    </w:rPr>
  </w:style>
  <w:style w:type="character" w:customStyle="1" w:styleId="Char3">
    <w:name w:val="脚注文本 Char"/>
    <w:basedOn w:val="a0"/>
    <w:link w:val="a9"/>
    <w:semiHidden/>
    <w:rsid w:val="00656C34"/>
    <w:rPr>
      <w:rFonts w:ascii="Times New Roman" w:eastAsia="宋体" w:hAnsi="Times New Roman" w:cs="Times New Roman"/>
      <w:sz w:val="18"/>
      <w:szCs w:val="18"/>
    </w:rPr>
  </w:style>
  <w:style w:type="character" w:styleId="aa">
    <w:name w:val="footnote reference"/>
    <w:basedOn w:val="a0"/>
    <w:semiHidden/>
    <w:rsid w:val="00656C34"/>
    <w:rPr>
      <w:vertAlign w:val="superscript"/>
    </w:rPr>
  </w:style>
  <w:style w:type="paragraph" w:styleId="ab">
    <w:name w:val="Normal (Web)"/>
    <w:basedOn w:val="a"/>
    <w:uiPriority w:val="99"/>
    <w:semiHidden/>
    <w:unhideWhenUsed/>
    <w:rsid w:val="000A3B4A"/>
    <w:pPr>
      <w:widowControl/>
      <w:spacing w:before="100" w:beforeAutospacing="1" w:after="100" w:afterAutospacing="1" w:line="240" w:lineRule="auto"/>
      <w:jc w:val="left"/>
    </w:pPr>
    <w:rPr>
      <w:rFonts w:ascii="宋体" w:hAnsi="宋体" w:cs="宋体"/>
      <w:kern w:val="0"/>
      <w:szCs w:val="24"/>
    </w:rPr>
  </w:style>
  <w:style w:type="paragraph" w:styleId="ac">
    <w:name w:val="caption"/>
    <w:basedOn w:val="a"/>
    <w:next w:val="a"/>
    <w:uiPriority w:val="35"/>
    <w:unhideWhenUsed/>
    <w:qFormat/>
    <w:rsid w:val="00A22F74"/>
    <w:rPr>
      <w:rFonts w:asciiTheme="majorHAnsi" w:eastAsia="黑体" w:hAnsiTheme="majorHAnsi" w:cstheme="majorBidi"/>
      <w:sz w:val="20"/>
      <w:szCs w:val="20"/>
    </w:rPr>
  </w:style>
  <w:style w:type="table" w:styleId="1-2">
    <w:name w:val="Medium Shading 1 Accent 2"/>
    <w:basedOn w:val="a1"/>
    <w:uiPriority w:val="63"/>
    <w:rsid w:val="00A36604"/>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
    <w:name w:val="TOC Heading"/>
    <w:basedOn w:val="1"/>
    <w:next w:val="a"/>
    <w:uiPriority w:val="39"/>
    <w:semiHidden/>
    <w:unhideWhenUsed/>
    <w:qFormat/>
    <w:rsid w:val="002D5EB9"/>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2D5EB9"/>
  </w:style>
  <w:style w:type="paragraph" w:styleId="20">
    <w:name w:val="toc 2"/>
    <w:basedOn w:val="a"/>
    <w:next w:val="a"/>
    <w:autoRedefine/>
    <w:uiPriority w:val="39"/>
    <w:unhideWhenUsed/>
    <w:rsid w:val="002D5EB9"/>
    <w:pPr>
      <w:ind w:leftChars="200" w:left="420"/>
    </w:pPr>
  </w:style>
  <w:style w:type="paragraph" w:styleId="30">
    <w:name w:val="toc 3"/>
    <w:basedOn w:val="a"/>
    <w:next w:val="a"/>
    <w:autoRedefine/>
    <w:uiPriority w:val="39"/>
    <w:unhideWhenUsed/>
    <w:rsid w:val="002D5EB9"/>
    <w:pPr>
      <w:ind w:leftChars="400" w:left="840"/>
    </w:pPr>
  </w:style>
  <w:style w:type="character" w:styleId="ad">
    <w:name w:val="Hyperlink"/>
    <w:uiPriority w:val="99"/>
    <w:unhideWhenUsed/>
    <w:rsid w:val="00660186"/>
    <w:rPr>
      <w:sz w:val="24"/>
      <w:szCs w:val="24"/>
    </w:rPr>
  </w:style>
  <w:style w:type="character" w:styleId="ae">
    <w:name w:val="FollowedHyperlink"/>
    <w:basedOn w:val="a0"/>
    <w:uiPriority w:val="99"/>
    <w:semiHidden/>
    <w:unhideWhenUsed/>
    <w:rsid w:val="000978DD"/>
    <w:rPr>
      <w:color w:val="800080" w:themeColor="followedHyperlink"/>
      <w:u w:val="single"/>
    </w:rPr>
  </w:style>
  <w:style w:type="paragraph" w:styleId="af">
    <w:name w:val="Title"/>
    <w:basedOn w:val="a"/>
    <w:next w:val="a"/>
    <w:link w:val="Char4"/>
    <w:uiPriority w:val="10"/>
    <w:qFormat/>
    <w:rsid w:val="001A3E4B"/>
    <w:pPr>
      <w:spacing w:before="240" w:after="24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1A3E4B"/>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463548415">
      <w:bodyDiv w:val="1"/>
      <w:marLeft w:val="0"/>
      <w:marRight w:val="0"/>
      <w:marTop w:val="0"/>
      <w:marBottom w:val="0"/>
      <w:divBdr>
        <w:top w:val="none" w:sz="0" w:space="0" w:color="auto"/>
        <w:left w:val="none" w:sz="0" w:space="0" w:color="auto"/>
        <w:bottom w:val="none" w:sz="0" w:space="0" w:color="auto"/>
        <w:right w:val="none" w:sz="0" w:space="0" w:color="auto"/>
      </w:divBdr>
    </w:div>
    <w:div w:id="667555754">
      <w:bodyDiv w:val="1"/>
      <w:marLeft w:val="0"/>
      <w:marRight w:val="0"/>
      <w:marTop w:val="0"/>
      <w:marBottom w:val="0"/>
      <w:divBdr>
        <w:top w:val="none" w:sz="0" w:space="0" w:color="auto"/>
        <w:left w:val="none" w:sz="0" w:space="0" w:color="auto"/>
        <w:bottom w:val="none" w:sz="0" w:space="0" w:color="auto"/>
        <w:right w:val="none" w:sz="0" w:space="0" w:color="auto"/>
      </w:divBdr>
    </w:div>
    <w:div w:id="863399189">
      <w:bodyDiv w:val="1"/>
      <w:marLeft w:val="0"/>
      <w:marRight w:val="0"/>
      <w:marTop w:val="0"/>
      <w:marBottom w:val="0"/>
      <w:divBdr>
        <w:top w:val="none" w:sz="0" w:space="0" w:color="auto"/>
        <w:left w:val="none" w:sz="0" w:space="0" w:color="auto"/>
        <w:bottom w:val="none" w:sz="0" w:space="0" w:color="auto"/>
        <w:right w:val="none" w:sz="0" w:space="0" w:color="auto"/>
      </w:divBdr>
      <w:divsChild>
        <w:div w:id="392889919">
          <w:marLeft w:val="0"/>
          <w:marRight w:val="0"/>
          <w:marTop w:val="0"/>
          <w:marBottom w:val="0"/>
          <w:divBdr>
            <w:top w:val="none" w:sz="0" w:space="0" w:color="auto"/>
            <w:left w:val="none" w:sz="0" w:space="0" w:color="auto"/>
            <w:bottom w:val="none" w:sz="0" w:space="0" w:color="auto"/>
            <w:right w:val="none" w:sz="0" w:space="0" w:color="auto"/>
          </w:divBdr>
        </w:div>
        <w:div w:id="693926177">
          <w:marLeft w:val="0"/>
          <w:marRight w:val="0"/>
          <w:marTop w:val="0"/>
          <w:marBottom w:val="0"/>
          <w:divBdr>
            <w:top w:val="none" w:sz="0" w:space="0" w:color="auto"/>
            <w:left w:val="none" w:sz="0" w:space="0" w:color="auto"/>
            <w:bottom w:val="none" w:sz="0" w:space="0" w:color="auto"/>
            <w:right w:val="none" w:sz="0" w:space="0" w:color="auto"/>
          </w:divBdr>
        </w:div>
        <w:div w:id="576597340">
          <w:marLeft w:val="0"/>
          <w:marRight w:val="0"/>
          <w:marTop w:val="0"/>
          <w:marBottom w:val="0"/>
          <w:divBdr>
            <w:top w:val="none" w:sz="0" w:space="0" w:color="auto"/>
            <w:left w:val="none" w:sz="0" w:space="0" w:color="auto"/>
            <w:bottom w:val="none" w:sz="0" w:space="0" w:color="auto"/>
            <w:right w:val="none" w:sz="0" w:space="0" w:color="auto"/>
          </w:divBdr>
        </w:div>
      </w:divsChild>
    </w:div>
    <w:div w:id="881291243">
      <w:bodyDiv w:val="1"/>
      <w:marLeft w:val="0"/>
      <w:marRight w:val="0"/>
      <w:marTop w:val="0"/>
      <w:marBottom w:val="0"/>
      <w:divBdr>
        <w:top w:val="none" w:sz="0" w:space="0" w:color="auto"/>
        <w:left w:val="none" w:sz="0" w:space="0" w:color="auto"/>
        <w:bottom w:val="none" w:sz="0" w:space="0" w:color="auto"/>
        <w:right w:val="none" w:sz="0" w:space="0" w:color="auto"/>
      </w:divBdr>
    </w:div>
    <w:div w:id="927156053">
      <w:bodyDiv w:val="1"/>
      <w:marLeft w:val="0"/>
      <w:marRight w:val="0"/>
      <w:marTop w:val="0"/>
      <w:marBottom w:val="0"/>
      <w:divBdr>
        <w:top w:val="none" w:sz="0" w:space="0" w:color="auto"/>
        <w:left w:val="none" w:sz="0" w:space="0" w:color="auto"/>
        <w:bottom w:val="none" w:sz="0" w:space="0" w:color="auto"/>
        <w:right w:val="none" w:sz="0" w:space="0" w:color="auto"/>
      </w:divBdr>
    </w:div>
    <w:div w:id="980235558">
      <w:bodyDiv w:val="1"/>
      <w:marLeft w:val="0"/>
      <w:marRight w:val="0"/>
      <w:marTop w:val="0"/>
      <w:marBottom w:val="0"/>
      <w:divBdr>
        <w:top w:val="none" w:sz="0" w:space="0" w:color="auto"/>
        <w:left w:val="none" w:sz="0" w:space="0" w:color="auto"/>
        <w:bottom w:val="none" w:sz="0" w:space="0" w:color="auto"/>
        <w:right w:val="none" w:sz="0" w:space="0" w:color="auto"/>
      </w:divBdr>
    </w:div>
    <w:div w:id="1037898834">
      <w:bodyDiv w:val="1"/>
      <w:marLeft w:val="0"/>
      <w:marRight w:val="0"/>
      <w:marTop w:val="0"/>
      <w:marBottom w:val="0"/>
      <w:divBdr>
        <w:top w:val="none" w:sz="0" w:space="0" w:color="auto"/>
        <w:left w:val="none" w:sz="0" w:space="0" w:color="auto"/>
        <w:bottom w:val="none" w:sz="0" w:space="0" w:color="auto"/>
        <w:right w:val="none" w:sz="0" w:space="0" w:color="auto"/>
      </w:divBdr>
    </w:div>
    <w:div w:id="1328241468">
      <w:bodyDiv w:val="1"/>
      <w:marLeft w:val="0"/>
      <w:marRight w:val="0"/>
      <w:marTop w:val="0"/>
      <w:marBottom w:val="0"/>
      <w:divBdr>
        <w:top w:val="none" w:sz="0" w:space="0" w:color="auto"/>
        <w:left w:val="none" w:sz="0" w:space="0" w:color="auto"/>
        <w:bottom w:val="none" w:sz="0" w:space="0" w:color="auto"/>
        <w:right w:val="none" w:sz="0" w:space="0" w:color="auto"/>
      </w:divBdr>
      <w:divsChild>
        <w:div w:id="1883518636">
          <w:marLeft w:val="0"/>
          <w:marRight w:val="0"/>
          <w:marTop w:val="0"/>
          <w:marBottom w:val="0"/>
          <w:divBdr>
            <w:top w:val="none" w:sz="0" w:space="0" w:color="auto"/>
            <w:left w:val="none" w:sz="0" w:space="0" w:color="auto"/>
            <w:bottom w:val="none" w:sz="0" w:space="0" w:color="auto"/>
            <w:right w:val="none" w:sz="0" w:space="0" w:color="auto"/>
          </w:divBdr>
        </w:div>
        <w:div w:id="1944728631">
          <w:marLeft w:val="0"/>
          <w:marRight w:val="0"/>
          <w:marTop w:val="0"/>
          <w:marBottom w:val="0"/>
          <w:divBdr>
            <w:top w:val="none" w:sz="0" w:space="0" w:color="auto"/>
            <w:left w:val="none" w:sz="0" w:space="0" w:color="auto"/>
            <w:bottom w:val="none" w:sz="0" w:space="0" w:color="auto"/>
            <w:right w:val="none" w:sz="0" w:space="0" w:color="auto"/>
          </w:divBdr>
        </w:div>
        <w:div w:id="874275482">
          <w:marLeft w:val="0"/>
          <w:marRight w:val="0"/>
          <w:marTop w:val="0"/>
          <w:marBottom w:val="0"/>
          <w:divBdr>
            <w:top w:val="none" w:sz="0" w:space="0" w:color="auto"/>
            <w:left w:val="none" w:sz="0" w:space="0" w:color="auto"/>
            <w:bottom w:val="none" w:sz="0" w:space="0" w:color="auto"/>
            <w:right w:val="none" w:sz="0" w:space="0" w:color="auto"/>
          </w:divBdr>
        </w:div>
        <w:div w:id="1587955215">
          <w:marLeft w:val="0"/>
          <w:marRight w:val="0"/>
          <w:marTop w:val="0"/>
          <w:marBottom w:val="0"/>
          <w:divBdr>
            <w:top w:val="none" w:sz="0" w:space="0" w:color="auto"/>
            <w:left w:val="none" w:sz="0" w:space="0" w:color="auto"/>
            <w:bottom w:val="none" w:sz="0" w:space="0" w:color="auto"/>
            <w:right w:val="none" w:sz="0" w:space="0" w:color="auto"/>
          </w:divBdr>
        </w:div>
        <w:div w:id="155061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oc.WJASSET\Desktop\&#19975;&#23478;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49E5-22A4-46CE-9346-D696ADC8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万家Word模板.dotx</Template>
  <TotalTime>43</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邵晨</cp:lastModifiedBy>
  <cp:revision>7</cp:revision>
  <cp:lastPrinted>2013-12-04T06:51:00Z</cp:lastPrinted>
  <dcterms:created xsi:type="dcterms:W3CDTF">2014-06-04T09:37:00Z</dcterms:created>
  <dcterms:modified xsi:type="dcterms:W3CDTF">2014-06-04T11:03:00Z</dcterms:modified>
</cp:coreProperties>
</file>