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53" w:rsidRDefault="00636670" w:rsidP="00816CF2">
      <w:pPr>
        <w:ind w:firstLineChars="0" w:firstLine="0"/>
        <w:jc w:val="center"/>
        <w:rPr>
          <w:rFonts w:ascii="黑体" w:eastAsia="黑体" w:hAnsi="黑体" w:cstheme="majorBidi"/>
          <w:spacing w:val="-10"/>
          <w:kern w:val="28"/>
          <w:sz w:val="32"/>
          <w:szCs w:val="32"/>
        </w:rPr>
      </w:pPr>
      <w:r w:rsidRPr="00A60F53">
        <w:rPr>
          <w:rFonts w:ascii="黑体" w:eastAsia="黑体" w:hAnsi="黑体" w:cstheme="majorBidi" w:hint="eastAsia"/>
          <w:spacing w:val="-10"/>
          <w:kern w:val="28"/>
          <w:sz w:val="32"/>
          <w:szCs w:val="32"/>
        </w:rPr>
        <w:t>万家添利分级债券型证券投资基金之万家利A份额</w:t>
      </w:r>
    </w:p>
    <w:p w:rsidR="00636670" w:rsidRPr="00A60F53" w:rsidRDefault="00636670" w:rsidP="00816CF2">
      <w:pPr>
        <w:ind w:firstLineChars="0" w:firstLine="0"/>
        <w:jc w:val="center"/>
        <w:rPr>
          <w:rFonts w:ascii="黑体" w:eastAsia="黑体" w:hAnsi="黑体" w:cstheme="majorBidi"/>
          <w:spacing w:val="-10"/>
          <w:kern w:val="28"/>
          <w:sz w:val="32"/>
          <w:szCs w:val="32"/>
        </w:rPr>
      </w:pPr>
      <w:r w:rsidRPr="00A60F53">
        <w:rPr>
          <w:rFonts w:ascii="黑体" w:eastAsia="黑体" w:hAnsi="黑体" w:cstheme="majorBidi" w:hint="eastAsia"/>
          <w:spacing w:val="-10"/>
          <w:kern w:val="28"/>
          <w:sz w:val="32"/>
          <w:szCs w:val="32"/>
        </w:rPr>
        <w:t>开放赎回业务公告</w:t>
      </w:r>
    </w:p>
    <w:p w:rsidR="00636670" w:rsidRPr="00A60F53" w:rsidRDefault="00636670" w:rsidP="00A60F53">
      <w:pPr>
        <w:pStyle w:val="1"/>
        <w:spacing w:before="156" w:after="156"/>
      </w:pPr>
      <w:r w:rsidRPr="00A60F53">
        <w:rPr>
          <w:rFonts w:hint="eastAsia"/>
        </w:rPr>
        <w:t>公告基本信息</w:t>
      </w:r>
      <w:bookmarkStart w:id="0" w:name="t_2_1_2645_a1_fm1"/>
    </w:p>
    <w:tbl>
      <w:tblPr>
        <w:tblStyle w:val="a8"/>
        <w:tblW w:w="0" w:type="auto"/>
        <w:tblLook w:val="04A0"/>
      </w:tblPr>
      <w:tblGrid>
        <w:gridCol w:w="3085"/>
        <w:gridCol w:w="2552"/>
        <w:gridCol w:w="2885"/>
      </w:tblGrid>
      <w:tr w:rsidR="00636670" w:rsidRPr="00A60F53" w:rsidTr="00A60F53">
        <w:trPr>
          <w:trHeight w:val="427"/>
        </w:trPr>
        <w:tc>
          <w:tcPr>
            <w:tcW w:w="3085" w:type="dxa"/>
            <w:shd w:val="clear" w:color="auto" w:fill="auto"/>
            <w:vAlign w:val="center"/>
          </w:tcPr>
          <w:p w:rsidR="00636670" w:rsidRPr="00A60F53" w:rsidRDefault="00636670" w:rsidP="00844B01">
            <w:pPr>
              <w:spacing w:line="360" w:lineRule="auto"/>
              <w:ind w:firstLineChars="0" w:firstLine="0"/>
            </w:pPr>
            <w:r w:rsidRPr="00A60F53">
              <w:rPr>
                <w:rFonts w:hint="eastAsia"/>
              </w:rPr>
              <w:t>基金名称</w:t>
            </w:r>
          </w:p>
        </w:tc>
        <w:tc>
          <w:tcPr>
            <w:tcW w:w="5437" w:type="dxa"/>
            <w:gridSpan w:val="2"/>
            <w:shd w:val="clear" w:color="auto" w:fill="auto"/>
            <w:vAlign w:val="center"/>
          </w:tcPr>
          <w:p w:rsidR="00636670" w:rsidRPr="00A60F53" w:rsidRDefault="00636670" w:rsidP="00844B01">
            <w:pPr>
              <w:spacing w:line="360" w:lineRule="auto"/>
              <w:ind w:firstLineChars="0" w:firstLine="0"/>
            </w:pPr>
            <w:r w:rsidRPr="00A60F53">
              <w:rPr>
                <w:rFonts w:hint="eastAsia"/>
              </w:rPr>
              <w:t>万家添利分级债券型证券投资基金</w:t>
            </w:r>
          </w:p>
        </w:tc>
      </w:tr>
      <w:tr w:rsidR="00636670" w:rsidRPr="00A60F53" w:rsidTr="00A60F53">
        <w:trPr>
          <w:trHeight w:val="425"/>
        </w:trPr>
        <w:tc>
          <w:tcPr>
            <w:tcW w:w="3085" w:type="dxa"/>
            <w:shd w:val="clear" w:color="auto" w:fill="auto"/>
            <w:vAlign w:val="center"/>
          </w:tcPr>
          <w:p w:rsidR="00636670" w:rsidRPr="00A60F53" w:rsidRDefault="00636670" w:rsidP="00844B01">
            <w:pPr>
              <w:spacing w:line="360" w:lineRule="auto"/>
              <w:ind w:firstLineChars="0" w:firstLine="0"/>
            </w:pPr>
            <w:r w:rsidRPr="00A60F53">
              <w:rPr>
                <w:rFonts w:hint="eastAsia"/>
              </w:rPr>
              <w:t>基金简称</w:t>
            </w:r>
          </w:p>
        </w:tc>
        <w:tc>
          <w:tcPr>
            <w:tcW w:w="5437" w:type="dxa"/>
            <w:gridSpan w:val="2"/>
            <w:shd w:val="clear" w:color="auto" w:fill="auto"/>
            <w:vAlign w:val="center"/>
          </w:tcPr>
          <w:p w:rsidR="00636670" w:rsidRPr="00A60F53" w:rsidRDefault="00636670" w:rsidP="00844B01">
            <w:pPr>
              <w:spacing w:line="360" w:lineRule="auto"/>
              <w:ind w:firstLineChars="0" w:firstLine="0"/>
            </w:pPr>
            <w:r w:rsidRPr="00A60F53">
              <w:rPr>
                <w:rFonts w:hint="eastAsia"/>
              </w:rPr>
              <w:t>万家添利分级债券</w:t>
            </w:r>
          </w:p>
        </w:tc>
      </w:tr>
      <w:tr w:rsidR="00636670" w:rsidRPr="00A60F53" w:rsidTr="00A60F53">
        <w:trPr>
          <w:trHeight w:val="417"/>
        </w:trPr>
        <w:tc>
          <w:tcPr>
            <w:tcW w:w="3085" w:type="dxa"/>
            <w:shd w:val="clear" w:color="auto" w:fill="auto"/>
            <w:vAlign w:val="center"/>
          </w:tcPr>
          <w:p w:rsidR="00636670" w:rsidRPr="00A60F53" w:rsidRDefault="00636670" w:rsidP="00844B01">
            <w:pPr>
              <w:spacing w:line="360" w:lineRule="auto"/>
              <w:ind w:firstLineChars="0" w:firstLine="0"/>
            </w:pPr>
            <w:r w:rsidRPr="00A60F53">
              <w:rPr>
                <w:rFonts w:hint="eastAsia"/>
              </w:rPr>
              <w:t>基金主代码</w:t>
            </w:r>
          </w:p>
        </w:tc>
        <w:tc>
          <w:tcPr>
            <w:tcW w:w="5437" w:type="dxa"/>
            <w:gridSpan w:val="2"/>
            <w:shd w:val="clear" w:color="auto" w:fill="auto"/>
            <w:vAlign w:val="center"/>
          </w:tcPr>
          <w:p w:rsidR="00636670" w:rsidRPr="00A60F53" w:rsidRDefault="00A60F53" w:rsidP="00844B01">
            <w:pPr>
              <w:spacing w:line="360" w:lineRule="auto"/>
              <w:ind w:firstLineChars="0" w:firstLine="0"/>
            </w:pPr>
            <w:r w:rsidRPr="00A60F53">
              <w:rPr>
                <w:rFonts w:hint="eastAsia"/>
              </w:rPr>
              <w:t>161908</w:t>
            </w:r>
          </w:p>
        </w:tc>
      </w:tr>
      <w:tr w:rsidR="00636670" w:rsidRPr="00A60F53" w:rsidTr="00A60F53">
        <w:trPr>
          <w:trHeight w:val="408"/>
        </w:trPr>
        <w:tc>
          <w:tcPr>
            <w:tcW w:w="3085" w:type="dxa"/>
            <w:shd w:val="clear" w:color="auto" w:fill="auto"/>
            <w:vAlign w:val="center"/>
          </w:tcPr>
          <w:p w:rsidR="00636670" w:rsidRPr="00A60F53" w:rsidRDefault="00636670" w:rsidP="00844B01">
            <w:pPr>
              <w:spacing w:line="360" w:lineRule="auto"/>
              <w:ind w:firstLineChars="0" w:firstLine="0"/>
            </w:pPr>
            <w:r w:rsidRPr="00A60F53">
              <w:rPr>
                <w:rFonts w:hint="eastAsia"/>
              </w:rPr>
              <w:t>基金运作方式</w:t>
            </w:r>
          </w:p>
        </w:tc>
        <w:tc>
          <w:tcPr>
            <w:tcW w:w="5437" w:type="dxa"/>
            <w:gridSpan w:val="2"/>
            <w:shd w:val="clear" w:color="auto" w:fill="auto"/>
            <w:vAlign w:val="center"/>
          </w:tcPr>
          <w:p w:rsidR="00636670" w:rsidRPr="00A60F53" w:rsidRDefault="00636670" w:rsidP="00844B01">
            <w:pPr>
              <w:spacing w:line="360" w:lineRule="auto"/>
              <w:ind w:firstLineChars="0" w:firstLine="0"/>
            </w:pPr>
            <w:r w:rsidRPr="00283AC2">
              <w:rPr>
                <w:rFonts w:hint="eastAsia"/>
              </w:rPr>
              <w:t>契约型</w:t>
            </w:r>
            <w:r w:rsidR="00844B01" w:rsidRPr="00283AC2">
              <w:rPr>
                <w:rFonts w:hint="eastAsia"/>
              </w:rPr>
              <w:t>开放式</w:t>
            </w:r>
          </w:p>
        </w:tc>
      </w:tr>
      <w:tr w:rsidR="00636670" w:rsidRPr="00A60F53" w:rsidTr="00A60F53">
        <w:trPr>
          <w:trHeight w:val="408"/>
        </w:trPr>
        <w:tc>
          <w:tcPr>
            <w:tcW w:w="3085" w:type="dxa"/>
            <w:shd w:val="clear" w:color="auto" w:fill="auto"/>
            <w:vAlign w:val="center"/>
          </w:tcPr>
          <w:p w:rsidR="00636670" w:rsidRPr="00A60F53" w:rsidRDefault="00636670" w:rsidP="00844B01">
            <w:pPr>
              <w:spacing w:line="360" w:lineRule="auto"/>
              <w:ind w:firstLineChars="0" w:firstLine="0"/>
            </w:pPr>
            <w:r w:rsidRPr="00A60F53">
              <w:rPr>
                <w:rFonts w:hint="eastAsia"/>
              </w:rPr>
              <w:t>基金合同生效日</w:t>
            </w:r>
          </w:p>
        </w:tc>
        <w:tc>
          <w:tcPr>
            <w:tcW w:w="5437" w:type="dxa"/>
            <w:gridSpan w:val="2"/>
            <w:shd w:val="clear" w:color="auto" w:fill="auto"/>
            <w:vAlign w:val="center"/>
          </w:tcPr>
          <w:p w:rsidR="00636670" w:rsidRPr="00A60F53" w:rsidRDefault="00636670" w:rsidP="00844B01">
            <w:pPr>
              <w:spacing w:line="360" w:lineRule="auto"/>
              <w:ind w:firstLineChars="0" w:firstLine="0"/>
            </w:pPr>
            <w:r w:rsidRPr="00A60F53">
              <w:t>2011</w:t>
            </w:r>
            <w:r w:rsidRPr="00A60F53">
              <w:rPr>
                <w:rFonts w:hint="eastAsia"/>
              </w:rPr>
              <w:t>年</w:t>
            </w:r>
            <w:r w:rsidRPr="00A60F53">
              <w:rPr>
                <w:rFonts w:hint="eastAsia"/>
              </w:rPr>
              <w:t>6</w:t>
            </w:r>
            <w:r w:rsidRPr="00A60F53">
              <w:rPr>
                <w:rFonts w:hint="eastAsia"/>
              </w:rPr>
              <w:t>月</w:t>
            </w:r>
            <w:r w:rsidRPr="00A60F53">
              <w:rPr>
                <w:rFonts w:hint="eastAsia"/>
              </w:rPr>
              <w:t>2</w:t>
            </w:r>
            <w:r w:rsidRPr="00A60F53">
              <w:rPr>
                <w:rFonts w:hint="eastAsia"/>
              </w:rPr>
              <w:t>日</w:t>
            </w:r>
          </w:p>
        </w:tc>
      </w:tr>
      <w:tr w:rsidR="00636670" w:rsidRPr="00A60F53" w:rsidTr="00A60F53">
        <w:trPr>
          <w:trHeight w:val="429"/>
        </w:trPr>
        <w:tc>
          <w:tcPr>
            <w:tcW w:w="3085" w:type="dxa"/>
            <w:shd w:val="clear" w:color="auto" w:fill="auto"/>
            <w:vAlign w:val="center"/>
          </w:tcPr>
          <w:p w:rsidR="00636670" w:rsidRPr="00A60F53" w:rsidRDefault="00636670" w:rsidP="00844B01">
            <w:pPr>
              <w:spacing w:line="360" w:lineRule="auto"/>
              <w:ind w:firstLineChars="0" w:firstLine="0"/>
            </w:pPr>
            <w:r w:rsidRPr="00A60F53">
              <w:rPr>
                <w:rFonts w:hint="eastAsia"/>
              </w:rPr>
              <w:t>基金管理人名称</w:t>
            </w:r>
          </w:p>
        </w:tc>
        <w:tc>
          <w:tcPr>
            <w:tcW w:w="5437" w:type="dxa"/>
            <w:gridSpan w:val="2"/>
            <w:shd w:val="clear" w:color="auto" w:fill="auto"/>
            <w:vAlign w:val="center"/>
          </w:tcPr>
          <w:p w:rsidR="00636670" w:rsidRPr="00A60F53" w:rsidRDefault="00636670" w:rsidP="00844B01">
            <w:pPr>
              <w:spacing w:line="360" w:lineRule="auto"/>
              <w:ind w:firstLineChars="0" w:firstLine="0"/>
            </w:pPr>
            <w:r w:rsidRPr="00A60F53">
              <w:rPr>
                <w:rFonts w:hint="eastAsia"/>
              </w:rPr>
              <w:t>万家基金管理有限公司</w:t>
            </w:r>
          </w:p>
        </w:tc>
      </w:tr>
      <w:tr w:rsidR="00636670" w:rsidRPr="00A60F53" w:rsidTr="00A60F53">
        <w:trPr>
          <w:trHeight w:val="479"/>
        </w:trPr>
        <w:tc>
          <w:tcPr>
            <w:tcW w:w="3085" w:type="dxa"/>
            <w:shd w:val="clear" w:color="auto" w:fill="auto"/>
            <w:vAlign w:val="center"/>
          </w:tcPr>
          <w:p w:rsidR="00636670" w:rsidRPr="00A60F53" w:rsidRDefault="00636670" w:rsidP="00844B01">
            <w:pPr>
              <w:spacing w:line="360" w:lineRule="auto"/>
              <w:ind w:firstLineChars="0" w:firstLine="0"/>
            </w:pPr>
            <w:r w:rsidRPr="00A60F53">
              <w:rPr>
                <w:rFonts w:hint="eastAsia"/>
              </w:rPr>
              <w:t>基金托管人名称</w:t>
            </w:r>
          </w:p>
        </w:tc>
        <w:tc>
          <w:tcPr>
            <w:tcW w:w="5437" w:type="dxa"/>
            <w:gridSpan w:val="2"/>
            <w:shd w:val="clear" w:color="auto" w:fill="auto"/>
            <w:vAlign w:val="center"/>
          </w:tcPr>
          <w:p w:rsidR="00636670" w:rsidRPr="00A60F53" w:rsidRDefault="00636670" w:rsidP="00844B01">
            <w:pPr>
              <w:spacing w:line="360" w:lineRule="auto"/>
              <w:ind w:firstLineChars="0" w:firstLine="0"/>
            </w:pPr>
            <w:r w:rsidRPr="00A60F53">
              <w:rPr>
                <w:rFonts w:hint="eastAsia"/>
              </w:rPr>
              <w:t>中国邮政储蓄银行股份有限公司</w:t>
            </w:r>
          </w:p>
        </w:tc>
      </w:tr>
      <w:tr w:rsidR="00636670" w:rsidRPr="00A60F53" w:rsidTr="00A60F53">
        <w:trPr>
          <w:trHeight w:val="451"/>
        </w:trPr>
        <w:tc>
          <w:tcPr>
            <w:tcW w:w="3085" w:type="dxa"/>
            <w:shd w:val="clear" w:color="auto" w:fill="auto"/>
            <w:vAlign w:val="center"/>
          </w:tcPr>
          <w:p w:rsidR="00636670" w:rsidRPr="00A60F53" w:rsidRDefault="00636670" w:rsidP="00844B01">
            <w:pPr>
              <w:spacing w:line="360" w:lineRule="auto"/>
              <w:ind w:firstLineChars="0" w:firstLine="0"/>
            </w:pPr>
            <w:r w:rsidRPr="00A60F53">
              <w:rPr>
                <w:rFonts w:hint="eastAsia"/>
              </w:rPr>
              <w:t>基金注册登记机构名称</w:t>
            </w:r>
          </w:p>
        </w:tc>
        <w:tc>
          <w:tcPr>
            <w:tcW w:w="5437" w:type="dxa"/>
            <w:gridSpan w:val="2"/>
            <w:shd w:val="clear" w:color="auto" w:fill="auto"/>
            <w:vAlign w:val="center"/>
          </w:tcPr>
          <w:p w:rsidR="00636670" w:rsidRPr="00A60F53" w:rsidRDefault="00636670" w:rsidP="00844B01">
            <w:pPr>
              <w:spacing w:line="360" w:lineRule="auto"/>
              <w:ind w:firstLineChars="0" w:firstLine="0"/>
            </w:pPr>
            <w:r w:rsidRPr="00A60F53">
              <w:rPr>
                <w:rFonts w:hint="eastAsia"/>
              </w:rPr>
              <w:t>中国证券登记结算有限责任公司</w:t>
            </w:r>
          </w:p>
        </w:tc>
      </w:tr>
      <w:tr w:rsidR="00636670" w:rsidRPr="00A60F53" w:rsidTr="00A60F53">
        <w:trPr>
          <w:trHeight w:val="724"/>
        </w:trPr>
        <w:tc>
          <w:tcPr>
            <w:tcW w:w="3085" w:type="dxa"/>
            <w:shd w:val="clear" w:color="auto" w:fill="auto"/>
            <w:vAlign w:val="center"/>
          </w:tcPr>
          <w:p w:rsidR="00636670" w:rsidRPr="00A60F53" w:rsidRDefault="00636670" w:rsidP="00844B01">
            <w:pPr>
              <w:spacing w:line="360" w:lineRule="auto"/>
              <w:ind w:firstLineChars="0" w:firstLine="0"/>
            </w:pPr>
            <w:r w:rsidRPr="00A60F53">
              <w:rPr>
                <w:rFonts w:hint="eastAsia"/>
              </w:rPr>
              <w:t>公告依据</w:t>
            </w:r>
          </w:p>
        </w:tc>
        <w:tc>
          <w:tcPr>
            <w:tcW w:w="5437" w:type="dxa"/>
            <w:gridSpan w:val="2"/>
            <w:shd w:val="clear" w:color="auto" w:fill="auto"/>
            <w:vAlign w:val="center"/>
          </w:tcPr>
          <w:p w:rsidR="00636670" w:rsidRPr="00A60F53" w:rsidRDefault="00636670" w:rsidP="00844B01">
            <w:pPr>
              <w:spacing w:line="360" w:lineRule="auto"/>
              <w:ind w:firstLineChars="0" w:firstLine="0"/>
            </w:pPr>
            <w:r w:rsidRPr="00A60F53">
              <w:rPr>
                <w:rFonts w:hint="eastAsia"/>
              </w:rPr>
              <w:t>《万家添利分级债券型证券投资基金基金合同》、《万家添利分级债券型证券投资基金招募说明书》</w:t>
            </w:r>
          </w:p>
        </w:tc>
      </w:tr>
      <w:tr w:rsidR="00636670" w:rsidRPr="00A60F53" w:rsidTr="00A60F53">
        <w:trPr>
          <w:trHeight w:val="415"/>
        </w:trPr>
        <w:tc>
          <w:tcPr>
            <w:tcW w:w="3085" w:type="dxa"/>
            <w:shd w:val="clear" w:color="auto" w:fill="auto"/>
            <w:vAlign w:val="center"/>
          </w:tcPr>
          <w:p w:rsidR="00636670" w:rsidRPr="00A60F53" w:rsidRDefault="00636670" w:rsidP="00844B01">
            <w:pPr>
              <w:spacing w:line="360" w:lineRule="auto"/>
              <w:ind w:firstLineChars="0" w:firstLine="0"/>
            </w:pPr>
            <w:r w:rsidRPr="00A60F53">
              <w:rPr>
                <w:rFonts w:hint="eastAsia"/>
              </w:rPr>
              <w:t>赎回起始日</w:t>
            </w:r>
          </w:p>
        </w:tc>
        <w:tc>
          <w:tcPr>
            <w:tcW w:w="5437" w:type="dxa"/>
            <w:gridSpan w:val="2"/>
            <w:shd w:val="clear" w:color="auto" w:fill="auto"/>
            <w:vAlign w:val="center"/>
          </w:tcPr>
          <w:p w:rsidR="00636670" w:rsidRPr="00A60F53" w:rsidRDefault="00636670" w:rsidP="00844B01">
            <w:pPr>
              <w:spacing w:line="360" w:lineRule="auto"/>
              <w:ind w:firstLineChars="0" w:firstLine="0"/>
            </w:pPr>
            <w:r w:rsidRPr="00A60F53">
              <w:rPr>
                <w:rFonts w:hint="eastAsia"/>
              </w:rPr>
              <w:t>2014</w:t>
            </w:r>
            <w:r w:rsidRPr="00A60F53">
              <w:rPr>
                <w:rFonts w:hint="eastAsia"/>
              </w:rPr>
              <w:t>年</w:t>
            </w:r>
            <w:r w:rsidRPr="00A60F53">
              <w:t>5</w:t>
            </w:r>
            <w:r w:rsidRPr="00A60F53">
              <w:rPr>
                <w:rFonts w:hint="eastAsia"/>
              </w:rPr>
              <w:t>月</w:t>
            </w:r>
            <w:r w:rsidRPr="00A60F53">
              <w:t>30</w:t>
            </w:r>
            <w:r w:rsidRPr="00A60F53">
              <w:rPr>
                <w:rFonts w:hint="eastAsia"/>
              </w:rPr>
              <w:t>日</w:t>
            </w:r>
          </w:p>
        </w:tc>
      </w:tr>
      <w:tr w:rsidR="00636670" w:rsidRPr="00A60F53" w:rsidTr="00A60F53">
        <w:trPr>
          <w:trHeight w:val="421"/>
        </w:trPr>
        <w:tc>
          <w:tcPr>
            <w:tcW w:w="3085" w:type="dxa"/>
            <w:shd w:val="clear" w:color="auto" w:fill="auto"/>
            <w:vAlign w:val="center"/>
          </w:tcPr>
          <w:p w:rsidR="00636670" w:rsidRPr="00A60F53" w:rsidRDefault="00636670" w:rsidP="00844B01">
            <w:pPr>
              <w:spacing w:line="360" w:lineRule="auto"/>
              <w:ind w:firstLineChars="0" w:firstLine="0"/>
            </w:pPr>
            <w:r w:rsidRPr="00A60F53">
              <w:rPr>
                <w:rFonts w:hint="eastAsia"/>
              </w:rPr>
              <w:t>下属分级基金的基金简称</w:t>
            </w:r>
          </w:p>
        </w:tc>
        <w:tc>
          <w:tcPr>
            <w:tcW w:w="2552" w:type="dxa"/>
            <w:shd w:val="clear" w:color="auto" w:fill="auto"/>
            <w:vAlign w:val="center"/>
          </w:tcPr>
          <w:p w:rsidR="00636670" w:rsidRPr="00A60F53" w:rsidRDefault="00636670" w:rsidP="00844B01">
            <w:pPr>
              <w:spacing w:line="360" w:lineRule="auto"/>
              <w:ind w:firstLineChars="0" w:firstLine="0"/>
            </w:pPr>
            <w:r w:rsidRPr="00A60F53">
              <w:rPr>
                <w:rFonts w:hint="eastAsia"/>
              </w:rPr>
              <w:t>万家利</w:t>
            </w:r>
            <w:r w:rsidRPr="00A60F53">
              <w:t>A</w:t>
            </w:r>
          </w:p>
        </w:tc>
        <w:tc>
          <w:tcPr>
            <w:tcW w:w="2885" w:type="dxa"/>
            <w:shd w:val="clear" w:color="auto" w:fill="auto"/>
            <w:vAlign w:val="center"/>
          </w:tcPr>
          <w:p w:rsidR="00636670" w:rsidRPr="00A60F53" w:rsidRDefault="00636670" w:rsidP="00844B01">
            <w:pPr>
              <w:spacing w:line="360" w:lineRule="auto"/>
              <w:ind w:firstLineChars="0" w:firstLine="0"/>
            </w:pPr>
            <w:r w:rsidRPr="00A60F53">
              <w:rPr>
                <w:rFonts w:hint="eastAsia"/>
              </w:rPr>
              <w:t>万家</w:t>
            </w:r>
            <w:r w:rsidRPr="00A60F53">
              <w:t>利</w:t>
            </w:r>
            <w:r w:rsidRPr="00A60F53">
              <w:t>B</w:t>
            </w:r>
          </w:p>
        </w:tc>
      </w:tr>
      <w:tr w:rsidR="00636670" w:rsidRPr="00A60F53" w:rsidTr="00A60F53">
        <w:trPr>
          <w:trHeight w:val="413"/>
        </w:trPr>
        <w:tc>
          <w:tcPr>
            <w:tcW w:w="3085" w:type="dxa"/>
            <w:shd w:val="clear" w:color="auto" w:fill="auto"/>
            <w:vAlign w:val="center"/>
          </w:tcPr>
          <w:p w:rsidR="00636670" w:rsidRPr="00A60F53" w:rsidRDefault="00636670" w:rsidP="00844B01">
            <w:pPr>
              <w:spacing w:line="360" w:lineRule="auto"/>
              <w:ind w:firstLineChars="0" w:firstLine="0"/>
            </w:pPr>
            <w:r w:rsidRPr="00A60F53">
              <w:rPr>
                <w:rFonts w:hint="eastAsia"/>
              </w:rPr>
              <w:t>下属分级基金的交易代码</w:t>
            </w:r>
          </w:p>
        </w:tc>
        <w:tc>
          <w:tcPr>
            <w:tcW w:w="2552" w:type="dxa"/>
            <w:shd w:val="clear" w:color="auto" w:fill="auto"/>
            <w:vAlign w:val="center"/>
          </w:tcPr>
          <w:p w:rsidR="00636670" w:rsidRPr="00A60F53" w:rsidRDefault="00636670" w:rsidP="00844B01">
            <w:pPr>
              <w:spacing w:line="360" w:lineRule="auto"/>
              <w:ind w:firstLineChars="0" w:firstLine="0"/>
            </w:pPr>
            <w:r w:rsidRPr="00A60F53">
              <w:rPr>
                <w:rFonts w:hint="eastAsia"/>
              </w:rPr>
              <w:t>161</w:t>
            </w:r>
            <w:r w:rsidRPr="00A60F53">
              <w:t>909</w:t>
            </w:r>
          </w:p>
        </w:tc>
        <w:tc>
          <w:tcPr>
            <w:tcW w:w="2885" w:type="dxa"/>
            <w:shd w:val="clear" w:color="auto" w:fill="auto"/>
            <w:vAlign w:val="center"/>
          </w:tcPr>
          <w:p w:rsidR="00636670" w:rsidRPr="00A60F53" w:rsidRDefault="00636670" w:rsidP="00844B01">
            <w:pPr>
              <w:spacing w:line="360" w:lineRule="auto"/>
              <w:ind w:firstLineChars="0" w:firstLine="0"/>
            </w:pPr>
            <w:r w:rsidRPr="00A60F53">
              <w:t>150038</w:t>
            </w:r>
          </w:p>
        </w:tc>
      </w:tr>
      <w:tr w:rsidR="00636670" w:rsidRPr="00A60F53" w:rsidTr="00A60F53">
        <w:trPr>
          <w:trHeight w:val="702"/>
        </w:trPr>
        <w:tc>
          <w:tcPr>
            <w:tcW w:w="3085" w:type="dxa"/>
            <w:shd w:val="clear" w:color="auto" w:fill="auto"/>
            <w:vAlign w:val="center"/>
          </w:tcPr>
          <w:p w:rsidR="00636670" w:rsidRPr="00A60F53" w:rsidRDefault="00636670" w:rsidP="00844B01">
            <w:pPr>
              <w:spacing w:line="360" w:lineRule="auto"/>
              <w:ind w:firstLineChars="0" w:firstLine="0"/>
            </w:pPr>
            <w:r w:rsidRPr="00A60F53">
              <w:rPr>
                <w:rFonts w:hint="eastAsia"/>
              </w:rPr>
              <w:t>该分级基金是否开放赎回（转换、定期定额投资）</w:t>
            </w:r>
          </w:p>
        </w:tc>
        <w:tc>
          <w:tcPr>
            <w:tcW w:w="2552" w:type="dxa"/>
            <w:shd w:val="clear" w:color="auto" w:fill="auto"/>
            <w:vAlign w:val="center"/>
          </w:tcPr>
          <w:p w:rsidR="00636670" w:rsidRPr="00A60F53" w:rsidRDefault="00636670" w:rsidP="00844B01">
            <w:pPr>
              <w:spacing w:line="360" w:lineRule="auto"/>
              <w:ind w:firstLineChars="0" w:firstLine="0"/>
            </w:pPr>
            <w:r w:rsidRPr="00A60F53">
              <w:rPr>
                <w:rFonts w:hint="eastAsia"/>
              </w:rPr>
              <w:t>是</w:t>
            </w:r>
          </w:p>
        </w:tc>
        <w:tc>
          <w:tcPr>
            <w:tcW w:w="2885" w:type="dxa"/>
            <w:shd w:val="clear" w:color="auto" w:fill="auto"/>
            <w:vAlign w:val="center"/>
          </w:tcPr>
          <w:p w:rsidR="00636670" w:rsidRPr="00A60F53" w:rsidRDefault="00636670" w:rsidP="00844B01">
            <w:pPr>
              <w:spacing w:line="360" w:lineRule="auto"/>
              <w:ind w:firstLineChars="0" w:firstLine="0"/>
            </w:pPr>
            <w:r w:rsidRPr="00A60F53">
              <w:rPr>
                <w:rFonts w:hint="eastAsia"/>
              </w:rPr>
              <w:t>否</w:t>
            </w:r>
          </w:p>
        </w:tc>
      </w:tr>
    </w:tbl>
    <w:bookmarkEnd w:id="0"/>
    <w:p w:rsidR="00636670" w:rsidRPr="001011C9" w:rsidRDefault="00636670" w:rsidP="00A60F53">
      <w:pPr>
        <w:ind w:firstLine="480"/>
      </w:pPr>
      <w:r w:rsidRPr="001011C9">
        <w:rPr>
          <w:rFonts w:hint="eastAsia"/>
        </w:rPr>
        <w:t>注：</w:t>
      </w:r>
      <w:r w:rsidR="008E50C8">
        <w:rPr>
          <w:rFonts w:hint="eastAsia"/>
        </w:rPr>
        <w:t>万家添利</w:t>
      </w:r>
      <w:r w:rsidR="008E50C8" w:rsidRPr="001011C9">
        <w:rPr>
          <w:rFonts w:hint="eastAsia"/>
        </w:rPr>
        <w:t>分级债券型证券投资基金（以下简称“本基金”）</w:t>
      </w:r>
      <w:r w:rsidRPr="001011C9">
        <w:rPr>
          <w:rFonts w:hint="eastAsia"/>
        </w:rPr>
        <w:t>《基金合同》于</w:t>
      </w:r>
      <w:r w:rsidRPr="001011C9">
        <w:t>201</w:t>
      </w:r>
      <w:r>
        <w:rPr>
          <w:rFonts w:hint="eastAsia"/>
        </w:rPr>
        <w:t>1</w:t>
      </w:r>
      <w:r w:rsidRPr="001011C9">
        <w:rPr>
          <w:rFonts w:hint="eastAsia"/>
        </w:rPr>
        <w:t>年</w:t>
      </w:r>
      <w:r>
        <w:t>6</w:t>
      </w:r>
      <w:r w:rsidRPr="001011C9">
        <w:rPr>
          <w:rFonts w:hint="eastAsia"/>
        </w:rPr>
        <w:t>月</w:t>
      </w:r>
      <w:r>
        <w:t>2</w:t>
      </w:r>
      <w:r w:rsidRPr="001011C9">
        <w:rPr>
          <w:rFonts w:hint="eastAsia"/>
        </w:rPr>
        <w:t>日生效，根据《基金合同》的有关规定，本基金《基金合同》生效后</w:t>
      </w:r>
      <w:r>
        <w:t>3</w:t>
      </w:r>
      <w:r w:rsidRPr="001011C9">
        <w:t> </w:t>
      </w:r>
      <w:r w:rsidRPr="001011C9">
        <w:rPr>
          <w:rFonts w:hint="eastAsia"/>
        </w:rPr>
        <w:t>年期届满，本基金无需召开基金份额持有人大会，转换为上市开放式基金（</w:t>
      </w:r>
      <w:r w:rsidRPr="001011C9">
        <w:t>LOF</w:t>
      </w:r>
      <w:r w:rsidRPr="001011C9">
        <w:rPr>
          <w:rFonts w:hint="eastAsia"/>
        </w:rPr>
        <w:t>），基金名称变更为“</w:t>
      </w:r>
      <w:r>
        <w:rPr>
          <w:rFonts w:hint="eastAsia"/>
        </w:rPr>
        <w:t>万家添利</w:t>
      </w:r>
      <w:r>
        <w:t>债券</w:t>
      </w:r>
      <w:r w:rsidRPr="001011C9">
        <w:rPr>
          <w:rFonts w:hint="eastAsia"/>
        </w:rPr>
        <w:t>型证券投资基金（</w:t>
      </w:r>
      <w:r w:rsidRPr="001011C9">
        <w:t>LOF</w:t>
      </w:r>
      <w:r w:rsidRPr="001011C9">
        <w:rPr>
          <w:rFonts w:hint="eastAsia"/>
        </w:rPr>
        <w:t>）”。</w:t>
      </w:r>
    </w:p>
    <w:p w:rsidR="00636670" w:rsidRPr="001011C9" w:rsidRDefault="00636670" w:rsidP="00A60F53">
      <w:pPr>
        <w:ind w:firstLine="480"/>
      </w:pPr>
      <w:r w:rsidRPr="001011C9">
        <w:rPr>
          <w:rFonts w:hint="eastAsia"/>
        </w:rPr>
        <w:t>为维护投资者利益，本基金管理人</w:t>
      </w:r>
      <w:r>
        <w:rPr>
          <w:rFonts w:hint="eastAsia"/>
        </w:rPr>
        <w:t>万家</w:t>
      </w:r>
      <w:r w:rsidRPr="001011C9">
        <w:rPr>
          <w:rFonts w:hint="eastAsia"/>
        </w:rPr>
        <w:t>基金管理有限公司经与托管行</w:t>
      </w:r>
      <w:r>
        <w:rPr>
          <w:rFonts w:hint="eastAsia"/>
        </w:rPr>
        <w:t>中国邮政储蓄银行股份有限公司</w:t>
      </w:r>
      <w:r w:rsidRPr="001011C9">
        <w:rPr>
          <w:rFonts w:hint="eastAsia"/>
        </w:rPr>
        <w:t>协商一致，决定将</w:t>
      </w:r>
      <w:r w:rsidRPr="001011C9">
        <w:t>2014</w:t>
      </w:r>
      <w:r w:rsidRPr="001011C9">
        <w:rPr>
          <w:rFonts w:hint="eastAsia"/>
        </w:rPr>
        <w:t>年</w:t>
      </w:r>
      <w:r>
        <w:t>5</w:t>
      </w:r>
      <w:r w:rsidRPr="001011C9">
        <w:rPr>
          <w:rFonts w:hint="eastAsia"/>
        </w:rPr>
        <w:t>月</w:t>
      </w:r>
      <w:r>
        <w:t>30</w:t>
      </w:r>
      <w:r w:rsidRPr="001011C9">
        <w:rPr>
          <w:rFonts w:hint="eastAsia"/>
        </w:rPr>
        <w:t>日定为</w:t>
      </w:r>
      <w:r w:rsidR="008E50C8">
        <w:rPr>
          <w:rFonts w:hint="eastAsia"/>
        </w:rPr>
        <w:t>万家</w:t>
      </w:r>
      <w:r>
        <w:rPr>
          <w:rFonts w:hint="eastAsia"/>
        </w:rPr>
        <w:t>利</w:t>
      </w:r>
      <w:r w:rsidRPr="001011C9">
        <w:t> A</w:t>
      </w:r>
      <w:r w:rsidRPr="001011C9">
        <w:rPr>
          <w:rFonts w:hint="eastAsia"/>
        </w:rPr>
        <w:t>份额的开放赎回日，</w:t>
      </w:r>
      <w:r w:rsidR="008E50C8">
        <w:rPr>
          <w:rFonts w:hint="eastAsia"/>
        </w:rPr>
        <w:t>万家</w:t>
      </w:r>
      <w:r>
        <w:rPr>
          <w:rFonts w:hint="eastAsia"/>
        </w:rPr>
        <w:t>利</w:t>
      </w:r>
      <w:r w:rsidRPr="001011C9">
        <w:t> A </w:t>
      </w:r>
      <w:r w:rsidRPr="001011C9">
        <w:rPr>
          <w:rFonts w:hint="eastAsia"/>
        </w:rPr>
        <w:t>的基金份额持有人可做出选择赎回</w:t>
      </w:r>
      <w:r w:rsidR="008E50C8">
        <w:rPr>
          <w:rFonts w:hint="eastAsia"/>
        </w:rPr>
        <w:t>万家</w:t>
      </w:r>
      <w:r>
        <w:rPr>
          <w:rFonts w:hint="eastAsia"/>
        </w:rPr>
        <w:t>利</w:t>
      </w:r>
      <w:r w:rsidRPr="001011C9">
        <w:t> A </w:t>
      </w:r>
      <w:r w:rsidRPr="001011C9">
        <w:rPr>
          <w:rFonts w:hint="eastAsia"/>
        </w:rPr>
        <w:t>份额或是不选择赎回</w:t>
      </w:r>
      <w:r w:rsidR="008E50C8">
        <w:rPr>
          <w:rFonts w:hint="eastAsia"/>
        </w:rPr>
        <w:t>万家</w:t>
      </w:r>
      <w:r>
        <w:rPr>
          <w:rFonts w:hint="eastAsia"/>
        </w:rPr>
        <w:t>利</w:t>
      </w:r>
      <w:r w:rsidRPr="001011C9">
        <w:t> A </w:t>
      </w:r>
      <w:r w:rsidRPr="001011C9">
        <w:rPr>
          <w:rFonts w:hint="eastAsia"/>
        </w:rPr>
        <w:t>份额。基金份额持有人不选择赎回的，其持有的</w:t>
      </w:r>
      <w:r w:rsidR="008E50C8">
        <w:rPr>
          <w:rFonts w:hint="eastAsia"/>
        </w:rPr>
        <w:t>万家</w:t>
      </w:r>
      <w:r>
        <w:rPr>
          <w:rFonts w:hint="eastAsia"/>
        </w:rPr>
        <w:t>利</w:t>
      </w:r>
      <w:r w:rsidRPr="001011C9">
        <w:t> A </w:t>
      </w:r>
      <w:r w:rsidRPr="001011C9">
        <w:rPr>
          <w:rFonts w:hint="eastAsia"/>
        </w:rPr>
        <w:t>份额将被默认为转入“</w:t>
      </w:r>
      <w:r>
        <w:rPr>
          <w:rFonts w:hint="eastAsia"/>
        </w:rPr>
        <w:t>万家添利</w:t>
      </w:r>
      <w:r>
        <w:t>债</w:t>
      </w:r>
      <w:r w:rsidRPr="001011C9">
        <w:rPr>
          <w:rFonts w:hint="eastAsia"/>
        </w:rPr>
        <w:t>券型证券投资基金（</w:t>
      </w:r>
      <w:r w:rsidRPr="001011C9">
        <w:t>LOF</w:t>
      </w:r>
      <w:r w:rsidRPr="001011C9">
        <w:rPr>
          <w:rFonts w:hint="eastAsia"/>
        </w:rPr>
        <w:t>）”份额。</w:t>
      </w:r>
    </w:p>
    <w:p w:rsidR="00636670" w:rsidRPr="00A60F53" w:rsidRDefault="00636670" w:rsidP="00A60F53">
      <w:pPr>
        <w:pStyle w:val="1"/>
        <w:spacing w:before="156" w:after="156"/>
      </w:pPr>
      <w:bookmarkStart w:id="1" w:name="t_2_2_table"/>
      <w:bookmarkEnd w:id="1"/>
      <w:r w:rsidRPr="00A60F53">
        <w:rPr>
          <w:rFonts w:hint="eastAsia"/>
        </w:rPr>
        <w:lastRenderedPageBreak/>
        <w:t>赎回业务的办理时间</w:t>
      </w:r>
    </w:p>
    <w:p w:rsidR="00636670" w:rsidRPr="003100CF" w:rsidRDefault="00636670" w:rsidP="00A60F53">
      <w:pPr>
        <w:ind w:firstLine="480"/>
      </w:pPr>
      <w:bookmarkStart w:id="2" w:name="t_2_2_2819_a1_fm1"/>
      <w:bookmarkEnd w:id="2"/>
      <w:r w:rsidRPr="003100CF">
        <w:t>2014</w:t>
      </w:r>
      <w:r w:rsidRPr="003100CF">
        <w:rPr>
          <w:rFonts w:hint="eastAsia"/>
        </w:rPr>
        <w:t>年</w:t>
      </w:r>
      <w:r>
        <w:t>5</w:t>
      </w:r>
      <w:r w:rsidRPr="003100CF">
        <w:rPr>
          <w:rFonts w:hint="eastAsia"/>
        </w:rPr>
        <w:t>月</w:t>
      </w:r>
      <w:r>
        <w:t>30</w:t>
      </w:r>
      <w:r w:rsidRPr="003100CF">
        <w:rPr>
          <w:rFonts w:hint="eastAsia"/>
        </w:rPr>
        <w:t>日为</w:t>
      </w:r>
      <w:r w:rsidR="008E50C8">
        <w:rPr>
          <w:rFonts w:hint="eastAsia"/>
        </w:rPr>
        <w:t>万家</w:t>
      </w:r>
      <w:r>
        <w:rPr>
          <w:rFonts w:hint="eastAsia"/>
        </w:rPr>
        <w:t>利</w:t>
      </w:r>
      <w:r w:rsidRPr="003100CF">
        <w:t> A</w:t>
      </w:r>
      <w:r w:rsidRPr="003100CF">
        <w:rPr>
          <w:rFonts w:hint="eastAsia"/>
        </w:rPr>
        <w:t>份额的开放赎回日，</w:t>
      </w:r>
      <w:r w:rsidR="008E50C8">
        <w:rPr>
          <w:rFonts w:hint="eastAsia"/>
        </w:rPr>
        <w:t>本基金管理人</w:t>
      </w:r>
      <w:r w:rsidR="008E50C8" w:rsidRPr="003100CF">
        <w:rPr>
          <w:rFonts w:hint="eastAsia"/>
        </w:rPr>
        <w:t>在该日</w:t>
      </w:r>
      <w:r w:rsidR="008E50C8" w:rsidRPr="003100CF">
        <w:t>15</w:t>
      </w:r>
      <w:r w:rsidR="008E50C8" w:rsidRPr="003100CF">
        <w:rPr>
          <w:rFonts w:hint="eastAsia"/>
        </w:rPr>
        <w:t>：</w:t>
      </w:r>
      <w:r w:rsidR="008E50C8" w:rsidRPr="003100CF">
        <w:t>00</w:t>
      </w:r>
      <w:r w:rsidR="008E50C8" w:rsidRPr="003100CF">
        <w:rPr>
          <w:rFonts w:hint="eastAsia"/>
        </w:rPr>
        <w:t>前接受办理</w:t>
      </w:r>
      <w:r w:rsidR="008E50C8">
        <w:rPr>
          <w:rFonts w:hint="eastAsia"/>
        </w:rPr>
        <w:t>万家利</w:t>
      </w:r>
      <w:r w:rsidR="008E50C8" w:rsidRPr="003100CF">
        <w:t>A</w:t>
      </w:r>
      <w:r w:rsidR="008E50C8" w:rsidRPr="003100CF">
        <w:rPr>
          <w:rFonts w:hint="eastAsia"/>
        </w:rPr>
        <w:t>份额的赎回业务。</w:t>
      </w:r>
      <w:r w:rsidR="008E50C8">
        <w:rPr>
          <w:rFonts w:hint="eastAsia"/>
        </w:rPr>
        <w:t>万家利</w:t>
      </w:r>
      <w:r w:rsidR="008E50C8" w:rsidRPr="003100CF">
        <w:t> A </w:t>
      </w:r>
      <w:r w:rsidR="008E50C8" w:rsidRPr="003100CF">
        <w:rPr>
          <w:rFonts w:hint="eastAsia"/>
        </w:rPr>
        <w:t>的基金份额持有人可在</w:t>
      </w:r>
      <w:r w:rsidR="008E50C8">
        <w:rPr>
          <w:rFonts w:hint="eastAsia"/>
        </w:rPr>
        <w:t>规定的时间内</w:t>
      </w:r>
      <w:r w:rsidR="008E50C8" w:rsidRPr="003100CF">
        <w:rPr>
          <w:rFonts w:hint="eastAsia"/>
        </w:rPr>
        <w:t>做出选择赎回</w:t>
      </w:r>
      <w:r w:rsidR="008E50C8">
        <w:rPr>
          <w:rFonts w:hint="eastAsia"/>
        </w:rPr>
        <w:t>万家利</w:t>
      </w:r>
      <w:r w:rsidR="008E50C8" w:rsidRPr="003100CF">
        <w:t> A </w:t>
      </w:r>
      <w:r w:rsidR="008E50C8" w:rsidRPr="003100CF">
        <w:rPr>
          <w:rFonts w:hint="eastAsia"/>
        </w:rPr>
        <w:t>份额或是不选择赎回</w:t>
      </w:r>
      <w:r w:rsidR="008E50C8">
        <w:rPr>
          <w:rFonts w:hint="eastAsia"/>
        </w:rPr>
        <w:t>万家利</w:t>
      </w:r>
      <w:r w:rsidR="008E50C8" w:rsidRPr="003100CF">
        <w:t>A </w:t>
      </w:r>
      <w:r w:rsidR="008E50C8">
        <w:rPr>
          <w:rFonts w:hint="eastAsia"/>
        </w:rPr>
        <w:t>份额</w:t>
      </w:r>
      <w:r w:rsidR="008E50C8" w:rsidRPr="003100CF">
        <w:rPr>
          <w:rFonts w:hint="eastAsia"/>
        </w:rPr>
        <w:t>。基金份额持有人不选择赎回的，其持有的</w:t>
      </w:r>
      <w:r w:rsidR="008E50C8">
        <w:rPr>
          <w:rFonts w:hint="eastAsia"/>
        </w:rPr>
        <w:t>万家利</w:t>
      </w:r>
      <w:r w:rsidR="008E50C8" w:rsidRPr="003100CF">
        <w:t> A </w:t>
      </w:r>
      <w:r w:rsidR="008E50C8" w:rsidRPr="003100CF">
        <w:rPr>
          <w:rFonts w:hint="eastAsia"/>
        </w:rPr>
        <w:t>份额将被默认为转入“</w:t>
      </w:r>
      <w:r w:rsidR="008E50C8">
        <w:rPr>
          <w:rFonts w:hint="eastAsia"/>
        </w:rPr>
        <w:t>万家添利债</w:t>
      </w:r>
      <w:r w:rsidR="008E50C8" w:rsidRPr="003100CF">
        <w:rPr>
          <w:rFonts w:hint="eastAsia"/>
        </w:rPr>
        <w:t>券型证券投资基金（</w:t>
      </w:r>
      <w:r w:rsidR="008E50C8" w:rsidRPr="003100CF">
        <w:t>LOF</w:t>
      </w:r>
      <w:r w:rsidR="008E50C8" w:rsidRPr="003100CF">
        <w:rPr>
          <w:rFonts w:hint="eastAsia"/>
        </w:rPr>
        <w:t>）”份额。</w:t>
      </w:r>
    </w:p>
    <w:p w:rsidR="00636670" w:rsidRPr="003100CF" w:rsidRDefault="00636670" w:rsidP="00636670">
      <w:pPr>
        <w:pStyle w:val="1"/>
        <w:spacing w:before="156" w:after="156"/>
      </w:pPr>
      <w:bookmarkStart w:id="3" w:name="t_2_3_1_table"/>
      <w:bookmarkStart w:id="4" w:name="t_2_3_1_2820_a1_fm1"/>
      <w:bookmarkStart w:id="5" w:name="t_2_3_2_table"/>
      <w:bookmarkStart w:id="6" w:name="t_2_3_2_2842_a1_fm1"/>
      <w:bookmarkStart w:id="7" w:name="t_2_3_3_table"/>
      <w:bookmarkStart w:id="8" w:name="t_2_3_3_2821_a1_fm1"/>
      <w:bookmarkEnd w:id="3"/>
      <w:bookmarkEnd w:id="4"/>
      <w:bookmarkEnd w:id="5"/>
      <w:bookmarkEnd w:id="6"/>
      <w:bookmarkEnd w:id="7"/>
      <w:bookmarkEnd w:id="8"/>
      <w:r w:rsidRPr="003100CF">
        <w:rPr>
          <w:rFonts w:hint="eastAsia"/>
        </w:rPr>
        <w:t>赎回业务</w:t>
      </w:r>
      <w:r w:rsidR="008E50C8">
        <w:rPr>
          <w:rFonts w:hint="eastAsia"/>
        </w:rPr>
        <w:t>的办理方式</w:t>
      </w:r>
    </w:p>
    <w:p w:rsidR="00636670" w:rsidRPr="003100CF" w:rsidRDefault="00636670" w:rsidP="00636670">
      <w:pPr>
        <w:pStyle w:val="2"/>
      </w:pPr>
      <w:r w:rsidRPr="003100CF">
        <w:rPr>
          <w:rFonts w:hint="eastAsia"/>
        </w:rPr>
        <w:t>赎回份额限制</w:t>
      </w:r>
    </w:p>
    <w:p w:rsidR="00636670" w:rsidRPr="003100CF" w:rsidRDefault="00636670" w:rsidP="00A60F53">
      <w:pPr>
        <w:ind w:firstLine="480"/>
      </w:pPr>
      <w:bookmarkStart w:id="9" w:name="t_2_4_1_2822_a1_fm1"/>
      <w:bookmarkEnd w:id="9"/>
      <w:r w:rsidRPr="00D86459">
        <w:rPr>
          <w:rFonts w:hint="eastAsia"/>
        </w:rPr>
        <w:t>基金管理人可根据市场情况，合理调整对申购金额和赎回份额的数量限制，基金管理人进行前述调整须按照《信息披露管理办法》有关规定在指定媒体上刊登公告。</w:t>
      </w:r>
    </w:p>
    <w:p w:rsidR="00636670" w:rsidRPr="00A60F53" w:rsidRDefault="00636670" w:rsidP="00A60F53">
      <w:pPr>
        <w:pStyle w:val="2"/>
      </w:pPr>
      <w:bookmarkStart w:id="10" w:name="t_2_4_2_table"/>
      <w:bookmarkEnd w:id="10"/>
      <w:r w:rsidRPr="00A60F53">
        <w:rPr>
          <w:rFonts w:hint="eastAsia"/>
        </w:rPr>
        <w:t>赎回费率</w:t>
      </w:r>
    </w:p>
    <w:p w:rsidR="00636670" w:rsidRPr="003100CF" w:rsidRDefault="00636670" w:rsidP="00A60F53">
      <w:pPr>
        <w:ind w:firstLine="480"/>
      </w:pPr>
      <w:bookmarkStart w:id="11" w:name="t_2_4_2_2843_a1_fm1"/>
      <w:bookmarkEnd w:id="11"/>
      <w:r>
        <w:rPr>
          <w:rFonts w:hint="eastAsia"/>
        </w:rPr>
        <w:t>万家利</w:t>
      </w:r>
      <w:r w:rsidRPr="003100CF">
        <w:t>A</w:t>
      </w:r>
      <w:r w:rsidRPr="003100CF">
        <w:rPr>
          <w:rFonts w:hint="eastAsia"/>
        </w:rPr>
        <w:t>不收取赎回费。</w:t>
      </w:r>
    </w:p>
    <w:p w:rsidR="00636670" w:rsidRPr="003100CF" w:rsidRDefault="00636670" w:rsidP="00636670">
      <w:pPr>
        <w:pStyle w:val="2"/>
      </w:pPr>
      <w:bookmarkStart w:id="12" w:name="t_2_4_3_table"/>
      <w:bookmarkEnd w:id="12"/>
      <w:r w:rsidRPr="003100CF">
        <w:rPr>
          <w:rFonts w:hint="eastAsia"/>
        </w:rPr>
        <w:t>其他与赎回相关的事项</w:t>
      </w:r>
    </w:p>
    <w:p w:rsidR="00636670" w:rsidRPr="003100CF" w:rsidRDefault="00636670" w:rsidP="00A60F53">
      <w:pPr>
        <w:ind w:firstLine="480"/>
      </w:pPr>
      <w:bookmarkStart w:id="13" w:name="t_2_4_3_2823_a1_fm1"/>
      <w:bookmarkEnd w:id="13"/>
      <w:r w:rsidRPr="003100CF">
        <w:rPr>
          <w:rFonts w:hint="eastAsia"/>
        </w:rPr>
        <w:t>“金额申购、份额赎回”原则，即</w:t>
      </w:r>
      <w:r w:rsidR="008E50C8">
        <w:rPr>
          <w:rFonts w:hint="eastAsia"/>
        </w:rPr>
        <w:t>万家利</w:t>
      </w:r>
      <w:r w:rsidR="008E50C8">
        <w:rPr>
          <w:rFonts w:hint="eastAsia"/>
        </w:rPr>
        <w:t>A</w:t>
      </w:r>
      <w:r w:rsidR="008E50C8">
        <w:rPr>
          <w:rFonts w:hint="eastAsia"/>
        </w:rPr>
        <w:t>的</w:t>
      </w:r>
      <w:r w:rsidRPr="003100CF">
        <w:rPr>
          <w:rFonts w:hint="eastAsia"/>
        </w:rPr>
        <w:t>赎回以份额申请；</w:t>
      </w:r>
    </w:p>
    <w:p w:rsidR="00636670" w:rsidRPr="003100CF" w:rsidRDefault="00636670" w:rsidP="00A60F53">
      <w:pPr>
        <w:ind w:firstLine="480"/>
      </w:pPr>
      <w:r>
        <w:rPr>
          <w:rFonts w:hint="eastAsia"/>
        </w:rPr>
        <w:t>本次开放日，基金份额持有人持有的万家利</w:t>
      </w:r>
      <w:r w:rsidRPr="003100CF">
        <w:t>A</w:t>
      </w:r>
      <w:r w:rsidRPr="003100CF">
        <w:rPr>
          <w:rFonts w:hint="eastAsia"/>
        </w:rPr>
        <w:t>份额均可申请赎回。</w:t>
      </w:r>
    </w:p>
    <w:p w:rsidR="00636670" w:rsidRPr="003100CF" w:rsidRDefault="00636670" w:rsidP="00A60F53">
      <w:pPr>
        <w:ind w:firstLine="480"/>
      </w:pPr>
      <w:r>
        <w:rPr>
          <w:rFonts w:hint="eastAsia"/>
        </w:rPr>
        <w:t>本次开放日，所有经确认有效的万家利</w:t>
      </w:r>
      <w:r w:rsidRPr="003100CF">
        <w:t>A</w:t>
      </w:r>
      <w:r w:rsidRPr="003100CF">
        <w:rPr>
          <w:rFonts w:hint="eastAsia"/>
        </w:rPr>
        <w:t>的赎回申请全部予以成交确认。</w:t>
      </w:r>
    </w:p>
    <w:p w:rsidR="00636670" w:rsidRPr="003100CF" w:rsidRDefault="00636670" w:rsidP="00636670">
      <w:pPr>
        <w:pStyle w:val="1"/>
        <w:spacing w:before="156" w:after="156"/>
      </w:pPr>
      <w:r w:rsidRPr="003100CF">
        <w:rPr>
          <w:rFonts w:hint="eastAsia"/>
        </w:rPr>
        <w:t>基金销售机构</w:t>
      </w:r>
    </w:p>
    <w:p w:rsidR="00636670" w:rsidRPr="003100CF" w:rsidRDefault="00636670" w:rsidP="00A60F53">
      <w:pPr>
        <w:pStyle w:val="2"/>
        <w:numPr>
          <w:ilvl w:val="0"/>
          <w:numId w:val="31"/>
        </w:numPr>
      </w:pPr>
      <w:r w:rsidRPr="003100CF">
        <w:rPr>
          <w:rFonts w:hint="eastAsia"/>
        </w:rPr>
        <w:t>直销机构</w:t>
      </w:r>
    </w:p>
    <w:p w:rsidR="00636670" w:rsidRPr="003100CF" w:rsidRDefault="00636670" w:rsidP="00A60F53">
      <w:pPr>
        <w:ind w:firstLine="480"/>
      </w:pPr>
      <w:bookmarkStart w:id="14" w:name="t_2_7_2833_a1_fm1"/>
      <w:bookmarkEnd w:id="14"/>
      <w:r w:rsidRPr="003100CF">
        <w:rPr>
          <w:rFonts w:hint="eastAsia"/>
        </w:rPr>
        <w:t>本基金直销机构为万家基金管理有限公司以及本公司的网上交易平台。</w:t>
      </w:r>
    </w:p>
    <w:p w:rsidR="00636670" w:rsidRPr="003100CF" w:rsidRDefault="00636670" w:rsidP="00A60F53">
      <w:pPr>
        <w:ind w:firstLine="480"/>
      </w:pPr>
      <w:r w:rsidRPr="003100CF">
        <w:rPr>
          <w:rFonts w:hint="eastAsia"/>
        </w:rPr>
        <w:t>住所、办公地址：</w:t>
      </w:r>
      <w:r w:rsidR="00D86459" w:rsidRPr="0014004D">
        <w:rPr>
          <w:bCs/>
        </w:rPr>
        <w:t>上海市浦东新区浦电路</w:t>
      </w:r>
      <w:r w:rsidR="00D86459" w:rsidRPr="0014004D">
        <w:rPr>
          <w:bCs/>
        </w:rPr>
        <w:t>360</w:t>
      </w:r>
      <w:r w:rsidR="00D86459" w:rsidRPr="0014004D">
        <w:rPr>
          <w:bCs/>
        </w:rPr>
        <w:t>号</w:t>
      </w:r>
      <w:r w:rsidR="00D86459" w:rsidRPr="0014004D">
        <w:rPr>
          <w:bCs/>
        </w:rPr>
        <w:t>8</w:t>
      </w:r>
      <w:r w:rsidR="00D86459" w:rsidRPr="0014004D">
        <w:rPr>
          <w:bCs/>
        </w:rPr>
        <w:t>层（名义楼层</w:t>
      </w:r>
      <w:r w:rsidR="00D86459" w:rsidRPr="0014004D">
        <w:rPr>
          <w:bCs/>
        </w:rPr>
        <w:t>9</w:t>
      </w:r>
      <w:r w:rsidR="00D86459" w:rsidRPr="0014004D">
        <w:rPr>
          <w:bCs/>
        </w:rPr>
        <w:t>层）</w:t>
      </w:r>
    </w:p>
    <w:p w:rsidR="00636670" w:rsidRPr="003100CF" w:rsidRDefault="00636670" w:rsidP="00A60F53">
      <w:pPr>
        <w:ind w:firstLine="480"/>
      </w:pPr>
      <w:r w:rsidRPr="003100CF">
        <w:rPr>
          <w:rFonts w:hint="eastAsia"/>
        </w:rPr>
        <w:t>法定代表人：毕玉国</w:t>
      </w:r>
    </w:p>
    <w:p w:rsidR="00636670" w:rsidRPr="003100CF" w:rsidRDefault="00636670" w:rsidP="00A60F53">
      <w:pPr>
        <w:ind w:firstLine="480"/>
      </w:pPr>
      <w:r w:rsidRPr="003100CF">
        <w:rPr>
          <w:rFonts w:hint="eastAsia"/>
        </w:rPr>
        <w:t>联系人：刘怡君</w:t>
      </w:r>
    </w:p>
    <w:p w:rsidR="00636670" w:rsidRPr="003100CF" w:rsidRDefault="00636670" w:rsidP="00A60F53">
      <w:pPr>
        <w:ind w:firstLine="480"/>
      </w:pPr>
      <w:r w:rsidRPr="003100CF">
        <w:rPr>
          <w:rFonts w:hint="eastAsia"/>
        </w:rPr>
        <w:t>电话：</w:t>
      </w:r>
      <w:r w:rsidR="008E50C8">
        <w:rPr>
          <w:rFonts w:hint="eastAsia"/>
        </w:rPr>
        <w:t>（</w:t>
      </w:r>
      <w:r w:rsidRPr="003100CF">
        <w:rPr>
          <w:rFonts w:hint="eastAsia"/>
        </w:rPr>
        <w:t>021</w:t>
      </w:r>
      <w:r w:rsidR="008E50C8">
        <w:rPr>
          <w:rFonts w:hint="eastAsia"/>
        </w:rPr>
        <w:t>）</w:t>
      </w:r>
      <w:r w:rsidRPr="003100CF">
        <w:rPr>
          <w:rFonts w:hint="eastAsia"/>
        </w:rPr>
        <w:t>38619982</w:t>
      </w:r>
    </w:p>
    <w:p w:rsidR="00636670" w:rsidRPr="003100CF" w:rsidRDefault="00636670" w:rsidP="00A60F53">
      <w:pPr>
        <w:ind w:firstLine="480"/>
      </w:pPr>
      <w:r w:rsidRPr="003100CF">
        <w:rPr>
          <w:rFonts w:hint="eastAsia"/>
        </w:rPr>
        <w:t>传真：</w:t>
      </w:r>
      <w:r w:rsidR="008E50C8">
        <w:rPr>
          <w:rFonts w:hint="eastAsia"/>
        </w:rPr>
        <w:t>（</w:t>
      </w:r>
      <w:r w:rsidRPr="003100CF">
        <w:rPr>
          <w:rFonts w:hint="eastAsia"/>
        </w:rPr>
        <w:t>021</w:t>
      </w:r>
      <w:r w:rsidR="008E50C8">
        <w:rPr>
          <w:rFonts w:hint="eastAsia"/>
        </w:rPr>
        <w:t>）</w:t>
      </w:r>
      <w:r w:rsidRPr="003100CF">
        <w:rPr>
          <w:rFonts w:hint="eastAsia"/>
        </w:rPr>
        <w:t>38619998</w:t>
      </w:r>
    </w:p>
    <w:p w:rsidR="00636670" w:rsidRPr="003100CF" w:rsidRDefault="00636670" w:rsidP="00A60F53">
      <w:pPr>
        <w:ind w:firstLine="480"/>
      </w:pPr>
      <w:r w:rsidRPr="003100CF">
        <w:rPr>
          <w:rFonts w:hint="eastAsia"/>
        </w:rPr>
        <w:t>客户服务热线：</w:t>
      </w:r>
      <w:r w:rsidRPr="003100CF">
        <w:rPr>
          <w:rFonts w:hint="eastAsia"/>
        </w:rPr>
        <w:t>400-888-0800</w:t>
      </w:r>
      <w:r w:rsidRPr="003100CF">
        <w:rPr>
          <w:rFonts w:hint="eastAsia"/>
        </w:rPr>
        <w:t>；</w:t>
      </w:r>
      <w:r w:rsidRPr="003100CF">
        <w:rPr>
          <w:rFonts w:hint="eastAsia"/>
        </w:rPr>
        <w:t>95538</w:t>
      </w:r>
      <w:r w:rsidRPr="003100CF">
        <w:rPr>
          <w:rFonts w:hint="eastAsia"/>
        </w:rPr>
        <w:t>转</w:t>
      </w:r>
      <w:r w:rsidRPr="003100CF">
        <w:rPr>
          <w:rFonts w:hint="eastAsia"/>
        </w:rPr>
        <w:t>6</w:t>
      </w:r>
    </w:p>
    <w:p w:rsidR="00636670" w:rsidRDefault="00636670" w:rsidP="00A60F53">
      <w:pPr>
        <w:ind w:firstLine="480"/>
      </w:pPr>
      <w:r w:rsidRPr="003100CF">
        <w:rPr>
          <w:rFonts w:hint="eastAsia"/>
        </w:rPr>
        <w:lastRenderedPageBreak/>
        <w:t>投资人可以通过本公司网上交易系统办理本基金的开户、认购、申购及赎回等业务</w:t>
      </w:r>
      <w:r w:rsidR="00A60F53">
        <w:rPr>
          <w:rFonts w:hint="eastAsia"/>
        </w:rPr>
        <w:t>，</w:t>
      </w:r>
      <w:r w:rsidRPr="003100CF">
        <w:rPr>
          <w:rFonts w:hint="eastAsia"/>
        </w:rPr>
        <w:t>具体交易细则请参阅本公司网站公告。网上交易网址</w:t>
      </w:r>
      <w:r w:rsidR="00A60F53">
        <w:rPr>
          <w:rFonts w:hint="eastAsia"/>
        </w:rPr>
        <w:t>：</w:t>
      </w:r>
      <w:hyperlink r:id="rId8" w:history="1">
        <w:r w:rsidRPr="00B42445">
          <w:rPr>
            <w:rStyle w:val="ad"/>
            <w:rFonts w:hint="eastAsia"/>
          </w:rPr>
          <w:t>https://trade.wjasset.com/</w:t>
        </w:r>
      </w:hyperlink>
    </w:p>
    <w:p w:rsidR="00636670" w:rsidRDefault="00636670" w:rsidP="00636670">
      <w:pPr>
        <w:pStyle w:val="2"/>
      </w:pPr>
      <w:r>
        <w:rPr>
          <w:rFonts w:hint="eastAsia"/>
        </w:rPr>
        <w:t>场外代销机构</w:t>
      </w:r>
    </w:p>
    <w:p w:rsidR="00636670" w:rsidRPr="0036070F" w:rsidRDefault="00636670" w:rsidP="00A60F53">
      <w:pPr>
        <w:ind w:firstLine="480"/>
      </w:pPr>
      <w:r w:rsidRPr="0036070F">
        <w:rPr>
          <w:rFonts w:hint="eastAsia"/>
        </w:rPr>
        <w:t>中国邮政储蓄银行股份有限公司</w:t>
      </w:r>
      <w:r>
        <w:rPr>
          <w:rFonts w:hint="eastAsia"/>
        </w:rPr>
        <w:t>、</w:t>
      </w:r>
      <w:r w:rsidRPr="0036070F">
        <w:rPr>
          <w:rFonts w:hint="eastAsia"/>
        </w:rPr>
        <w:t>中国工商银行股份有限公司</w:t>
      </w:r>
      <w:r>
        <w:rPr>
          <w:rFonts w:hint="eastAsia"/>
        </w:rPr>
        <w:t>、</w:t>
      </w:r>
      <w:r w:rsidRPr="0036070F">
        <w:rPr>
          <w:rFonts w:hint="eastAsia"/>
        </w:rPr>
        <w:t>中国建设银行股份有限公司</w:t>
      </w:r>
      <w:r>
        <w:rPr>
          <w:rFonts w:hint="eastAsia"/>
        </w:rPr>
        <w:t>、</w:t>
      </w:r>
      <w:r w:rsidRPr="0036070F">
        <w:t>中国农业银行股份有限公司</w:t>
      </w:r>
      <w:r>
        <w:rPr>
          <w:rFonts w:hint="eastAsia"/>
        </w:rPr>
        <w:t>、</w:t>
      </w:r>
      <w:r w:rsidRPr="0036070F">
        <w:rPr>
          <w:rFonts w:hint="eastAsia"/>
        </w:rPr>
        <w:t>交通银行股份有限公司</w:t>
      </w:r>
      <w:r>
        <w:rPr>
          <w:rFonts w:hint="eastAsia"/>
        </w:rPr>
        <w:t>、</w:t>
      </w:r>
      <w:r w:rsidRPr="0036070F">
        <w:t>招商银行股份有限公司</w:t>
      </w:r>
      <w:r>
        <w:rPr>
          <w:rFonts w:hint="eastAsia"/>
        </w:rPr>
        <w:t>、</w:t>
      </w:r>
      <w:r w:rsidRPr="0036070F">
        <w:t>华夏银行股份有限公司</w:t>
      </w:r>
      <w:r>
        <w:rPr>
          <w:rFonts w:hint="eastAsia"/>
        </w:rPr>
        <w:t>、</w:t>
      </w:r>
      <w:r w:rsidRPr="0036070F">
        <w:rPr>
          <w:rFonts w:hint="eastAsia"/>
        </w:rPr>
        <w:t>中国银行股份有限公司</w:t>
      </w:r>
      <w:r>
        <w:rPr>
          <w:rFonts w:hint="eastAsia"/>
        </w:rPr>
        <w:t>、</w:t>
      </w:r>
      <w:r w:rsidRPr="0036070F">
        <w:rPr>
          <w:rFonts w:hint="eastAsia"/>
        </w:rPr>
        <w:t>齐鲁证券有限公司</w:t>
      </w:r>
      <w:r>
        <w:rPr>
          <w:rFonts w:hint="eastAsia"/>
        </w:rPr>
        <w:t>、</w:t>
      </w:r>
      <w:r w:rsidRPr="0036070F">
        <w:rPr>
          <w:rFonts w:hint="eastAsia"/>
        </w:rPr>
        <w:t>中航证券有限公司</w:t>
      </w:r>
      <w:r>
        <w:rPr>
          <w:rFonts w:hint="eastAsia"/>
        </w:rPr>
        <w:t>、</w:t>
      </w:r>
      <w:r w:rsidRPr="0036070F">
        <w:rPr>
          <w:rFonts w:hint="eastAsia"/>
        </w:rPr>
        <w:t>中国银河证券股份有限公司</w:t>
      </w:r>
      <w:r>
        <w:rPr>
          <w:rFonts w:hint="eastAsia"/>
        </w:rPr>
        <w:t>、</w:t>
      </w:r>
      <w:r>
        <w:t>中国民族证券有限责任公</w:t>
      </w:r>
      <w:r>
        <w:rPr>
          <w:rFonts w:hint="eastAsia"/>
        </w:rPr>
        <w:t>司</w:t>
      </w:r>
      <w:r>
        <w:t>、</w:t>
      </w:r>
      <w:r w:rsidRPr="0036070F">
        <w:t>民生证券有限责任公司</w:t>
      </w:r>
      <w:r>
        <w:rPr>
          <w:rFonts w:hint="eastAsia"/>
        </w:rPr>
        <w:t>、</w:t>
      </w:r>
      <w:r>
        <w:t>东吴证券股份有限公</w:t>
      </w:r>
      <w:r>
        <w:rPr>
          <w:rFonts w:hint="eastAsia"/>
        </w:rPr>
        <w:t>司、</w:t>
      </w:r>
      <w:r w:rsidRPr="0036070F">
        <w:t>上海证券有限责任公司</w:t>
      </w:r>
      <w:r>
        <w:rPr>
          <w:rFonts w:hint="eastAsia"/>
        </w:rPr>
        <w:t>、</w:t>
      </w:r>
      <w:r w:rsidRPr="0036070F">
        <w:t>华龙证券有限责任公司</w:t>
      </w:r>
      <w:r>
        <w:rPr>
          <w:rFonts w:hint="eastAsia"/>
        </w:rPr>
        <w:t>、</w:t>
      </w:r>
      <w:r w:rsidRPr="0036070F">
        <w:t>宏源证券股份有限公司</w:t>
      </w:r>
      <w:r>
        <w:rPr>
          <w:rFonts w:hint="eastAsia"/>
        </w:rPr>
        <w:t>、</w:t>
      </w:r>
      <w:r w:rsidRPr="0036070F">
        <w:t>申银万国证券股份有限公司</w:t>
      </w:r>
      <w:r>
        <w:rPr>
          <w:rFonts w:hint="eastAsia"/>
        </w:rPr>
        <w:t>、</w:t>
      </w:r>
      <w:r w:rsidRPr="0036070F">
        <w:t>中信证券（浙江）有限责任公司（原中信金通证券）</w:t>
      </w:r>
      <w:r>
        <w:rPr>
          <w:rFonts w:hint="eastAsia"/>
        </w:rPr>
        <w:t>、</w:t>
      </w:r>
      <w:r w:rsidRPr="0036070F">
        <w:t>日信证券有限责任公司</w:t>
      </w:r>
      <w:r>
        <w:rPr>
          <w:rFonts w:hint="eastAsia"/>
        </w:rPr>
        <w:t>、</w:t>
      </w:r>
      <w:r w:rsidRPr="0036070F">
        <w:t>国泰君安证券股份有限公司</w:t>
      </w:r>
      <w:r>
        <w:rPr>
          <w:rFonts w:hint="eastAsia"/>
        </w:rPr>
        <w:t>、</w:t>
      </w:r>
      <w:r w:rsidRPr="0036070F">
        <w:t>兴业证券股份有限公司</w:t>
      </w:r>
      <w:r>
        <w:rPr>
          <w:rFonts w:hint="eastAsia"/>
        </w:rPr>
        <w:t>、</w:t>
      </w:r>
      <w:r w:rsidRPr="0036070F">
        <w:t>国信证券股份有限公司</w:t>
      </w:r>
      <w:r>
        <w:rPr>
          <w:rFonts w:hint="eastAsia"/>
        </w:rPr>
        <w:t>、</w:t>
      </w:r>
      <w:r w:rsidRPr="0036070F">
        <w:t>招商证券股份有限公司</w:t>
      </w:r>
      <w:r>
        <w:rPr>
          <w:rFonts w:hint="eastAsia"/>
        </w:rPr>
        <w:t>、</w:t>
      </w:r>
      <w:r w:rsidRPr="0036070F">
        <w:rPr>
          <w:rFonts w:hint="eastAsia"/>
        </w:rPr>
        <w:t>中银国际</w:t>
      </w:r>
      <w:r w:rsidRPr="0036070F">
        <w:t>证券</w:t>
      </w:r>
      <w:r w:rsidRPr="0036070F">
        <w:rPr>
          <w:rFonts w:hint="eastAsia"/>
        </w:rPr>
        <w:t>有限责任公司</w:t>
      </w:r>
      <w:r>
        <w:rPr>
          <w:rFonts w:hint="eastAsia"/>
        </w:rPr>
        <w:t>、</w:t>
      </w:r>
      <w:r w:rsidRPr="0036070F">
        <w:rPr>
          <w:rFonts w:hint="eastAsia"/>
        </w:rPr>
        <w:t>杭州数米基金销售有限公司</w:t>
      </w:r>
      <w:r>
        <w:rPr>
          <w:rFonts w:hint="eastAsia"/>
        </w:rPr>
        <w:t>、</w:t>
      </w:r>
      <w:r w:rsidRPr="0036070F">
        <w:rPr>
          <w:rFonts w:hint="eastAsia"/>
        </w:rPr>
        <w:t>诺亚正行（上海）基金销售投资顾问有限公司</w:t>
      </w:r>
      <w:r>
        <w:rPr>
          <w:rFonts w:hint="eastAsia"/>
        </w:rPr>
        <w:t>、</w:t>
      </w:r>
      <w:r w:rsidRPr="0036070F">
        <w:rPr>
          <w:rFonts w:hint="eastAsia"/>
        </w:rPr>
        <w:t>上海长量基金销售投资顾问有限公司</w:t>
      </w:r>
      <w:r>
        <w:rPr>
          <w:rFonts w:hint="eastAsia"/>
        </w:rPr>
        <w:t>、</w:t>
      </w:r>
      <w:r w:rsidRPr="0036070F">
        <w:rPr>
          <w:rFonts w:hint="eastAsia"/>
        </w:rPr>
        <w:t>深圳众禄基金销售有限公司</w:t>
      </w:r>
      <w:r>
        <w:rPr>
          <w:rFonts w:hint="eastAsia"/>
        </w:rPr>
        <w:t>、</w:t>
      </w:r>
      <w:r w:rsidRPr="0036070F">
        <w:rPr>
          <w:rFonts w:hint="eastAsia"/>
        </w:rPr>
        <w:t>北京展恒基金销售有限公司</w:t>
      </w:r>
      <w:r>
        <w:rPr>
          <w:rFonts w:hint="eastAsia"/>
        </w:rPr>
        <w:t>、</w:t>
      </w:r>
      <w:r w:rsidRPr="0036070F">
        <w:rPr>
          <w:rFonts w:hint="eastAsia"/>
        </w:rPr>
        <w:t>上海天天基金销售有限公司</w:t>
      </w:r>
      <w:r>
        <w:rPr>
          <w:rFonts w:hint="eastAsia"/>
        </w:rPr>
        <w:t>、</w:t>
      </w:r>
      <w:r w:rsidRPr="0036070F">
        <w:rPr>
          <w:rFonts w:hint="eastAsia"/>
        </w:rPr>
        <w:t>上海好买基金销售有限公司</w:t>
      </w:r>
      <w:r>
        <w:rPr>
          <w:rFonts w:hint="eastAsia"/>
        </w:rPr>
        <w:t>、</w:t>
      </w:r>
      <w:r w:rsidRPr="0036070F">
        <w:t>华鑫证券有限责任公司</w:t>
      </w:r>
      <w:r>
        <w:rPr>
          <w:rFonts w:hint="eastAsia"/>
        </w:rPr>
        <w:t>、</w:t>
      </w:r>
      <w:r w:rsidRPr="0036070F">
        <w:t>和讯信息技术有限公司</w:t>
      </w:r>
      <w:r>
        <w:rPr>
          <w:rFonts w:hint="eastAsia"/>
        </w:rPr>
        <w:t>。</w:t>
      </w:r>
    </w:p>
    <w:p w:rsidR="00636670" w:rsidRPr="0036070F" w:rsidRDefault="00636670" w:rsidP="00636670">
      <w:pPr>
        <w:pStyle w:val="1"/>
        <w:spacing w:before="156" w:after="156"/>
      </w:pPr>
      <w:r w:rsidRPr="0036070F">
        <w:rPr>
          <w:rFonts w:hint="eastAsia"/>
        </w:rPr>
        <w:t>基金份额净值公告</w:t>
      </w:r>
      <w:r w:rsidRPr="0036070F">
        <w:rPr>
          <w:rFonts w:hint="eastAsia"/>
        </w:rPr>
        <w:t>/</w:t>
      </w:r>
      <w:r w:rsidRPr="0036070F">
        <w:rPr>
          <w:rFonts w:hint="eastAsia"/>
        </w:rPr>
        <w:t>基金收益公告的披露安排</w:t>
      </w:r>
    </w:p>
    <w:p w:rsidR="00636670" w:rsidRPr="0036070F" w:rsidRDefault="00D86459" w:rsidP="00A60F53">
      <w:pPr>
        <w:ind w:firstLine="480"/>
      </w:pPr>
      <w:r>
        <w:rPr>
          <w:rFonts w:hint="eastAsia"/>
        </w:rPr>
        <w:t>1</w:t>
      </w:r>
      <w:r w:rsidR="00816CF2">
        <w:rPr>
          <w:rFonts w:hint="eastAsia"/>
        </w:rPr>
        <w:t>、</w:t>
      </w:r>
      <w:r w:rsidR="00636670" w:rsidRPr="0036070F">
        <w:rPr>
          <w:rFonts w:hint="eastAsia"/>
        </w:rPr>
        <w:t>在</w:t>
      </w:r>
      <w:r w:rsidR="00636670">
        <w:rPr>
          <w:rFonts w:hint="eastAsia"/>
        </w:rPr>
        <w:t>万家利</w:t>
      </w:r>
      <w:r w:rsidR="00636670" w:rsidRPr="0036070F">
        <w:t>A</w:t>
      </w:r>
      <w:r w:rsidR="00636670" w:rsidRPr="0036070F">
        <w:rPr>
          <w:rFonts w:hint="eastAsia"/>
        </w:rPr>
        <w:t>的首次开放或</w:t>
      </w:r>
      <w:r w:rsidR="00636670">
        <w:rPr>
          <w:rFonts w:hint="eastAsia"/>
        </w:rPr>
        <w:t>万家利</w:t>
      </w:r>
      <w:r w:rsidR="00636670" w:rsidRPr="0036070F">
        <w:t>B</w:t>
      </w:r>
      <w:r w:rsidR="00636670" w:rsidRPr="0036070F">
        <w:rPr>
          <w:rFonts w:hint="eastAsia"/>
        </w:rPr>
        <w:t>上市交易后，基金管理人将在每个交易日的次日，通过网站、基金份额发售网点以及其他媒介，披露基金份额净值、</w:t>
      </w:r>
      <w:r w:rsidR="00636670">
        <w:rPr>
          <w:rFonts w:hint="eastAsia"/>
        </w:rPr>
        <w:t>万家利</w:t>
      </w:r>
      <w:r w:rsidR="00636670" w:rsidRPr="0036070F">
        <w:t>A</w:t>
      </w:r>
      <w:r w:rsidR="00636670" w:rsidRPr="0036070F">
        <w:rPr>
          <w:rFonts w:hint="eastAsia"/>
        </w:rPr>
        <w:t>和</w:t>
      </w:r>
      <w:r w:rsidR="00636670">
        <w:rPr>
          <w:rFonts w:hint="eastAsia"/>
        </w:rPr>
        <w:t>万家利</w:t>
      </w:r>
      <w:r w:rsidR="00636670" w:rsidRPr="0036070F">
        <w:t>B</w:t>
      </w:r>
      <w:r w:rsidR="00636670" w:rsidRPr="0036070F">
        <w:rPr>
          <w:rFonts w:hint="eastAsia"/>
        </w:rPr>
        <w:t>的基金份额参考净值以及各自的基金份额累计参考净值；</w:t>
      </w:r>
    </w:p>
    <w:p w:rsidR="00636670" w:rsidRPr="0036070F" w:rsidRDefault="00D86459" w:rsidP="00A60F53">
      <w:pPr>
        <w:ind w:firstLine="480"/>
      </w:pPr>
      <w:r>
        <w:rPr>
          <w:rFonts w:hint="eastAsia"/>
        </w:rPr>
        <w:t>2</w:t>
      </w:r>
      <w:r w:rsidR="00816CF2">
        <w:rPr>
          <w:rFonts w:hint="eastAsia"/>
        </w:rPr>
        <w:t>、</w:t>
      </w:r>
      <w:r w:rsidR="00636670" w:rsidRPr="0036070F">
        <w:rPr>
          <w:rFonts w:hint="eastAsia"/>
        </w:rPr>
        <w:t>基金管理人将公告半年度和年度最后一个市场交易日的基金资产净值、基金份额净值</w:t>
      </w:r>
      <w:r w:rsidR="00816CF2">
        <w:rPr>
          <w:rFonts w:hint="eastAsia"/>
        </w:rPr>
        <w:t>、</w:t>
      </w:r>
      <w:r w:rsidR="00636670">
        <w:rPr>
          <w:rFonts w:hint="eastAsia"/>
        </w:rPr>
        <w:t>万家利</w:t>
      </w:r>
      <w:r w:rsidR="00636670" w:rsidRPr="0036070F">
        <w:t>A</w:t>
      </w:r>
      <w:r w:rsidR="00636670" w:rsidRPr="0036070F">
        <w:rPr>
          <w:rFonts w:hint="eastAsia"/>
        </w:rPr>
        <w:t>和</w:t>
      </w:r>
      <w:r w:rsidR="00636670">
        <w:rPr>
          <w:rFonts w:hint="eastAsia"/>
        </w:rPr>
        <w:t>万家利</w:t>
      </w:r>
      <w:r w:rsidR="00636670" w:rsidRPr="0036070F">
        <w:t>B</w:t>
      </w:r>
      <w:r w:rsidR="00636670" w:rsidRPr="0036070F">
        <w:rPr>
          <w:rFonts w:hint="eastAsia"/>
        </w:rPr>
        <w:t>的基金份额参考净值。基金管理人应当在上述市场交易日的次日，将基金资产净值、基金份额净值、</w:t>
      </w:r>
      <w:r w:rsidR="00636670">
        <w:rPr>
          <w:rFonts w:hint="eastAsia"/>
        </w:rPr>
        <w:t>万家利</w:t>
      </w:r>
      <w:r w:rsidR="00636670" w:rsidRPr="0036070F">
        <w:t>A</w:t>
      </w:r>
      <w:r w:rsidR="00636670" w:rsidRPr="0036070F">
        <w:rPr>
          <w:rFonts w:hint="eastAsia"/>
        </w:rPr>
        <w:t>和</w:t>
      </w:r>
      <w:r w:rsidR="00636670">
        <w:rPr>
          <w:rFonts w:hint="eastAsia"/>
        </w:rPr>
        <w:t>万家利</w:t>
      </w:r>
      <w:r w:rsidR="00636670" w:rsidRPr="0036070F">
        <w:t>B</w:t>
      </w:r>
      <w:r w:rsidR="00636670" w:rsidRPr="0036070F">
        <w:rPr>
          <w:rFonts w:hint="eastAsia"/>
        </w:rPr>
        <w:t>的基金份额参考净值以及各自的基金份额累计参考净值登载在指定报刊和网站上；</w:t>
      </w:r>
    </w:p>
    <w:p w:rsidR="00636670" w:rsidRPr="0036070F" w:rsidRDefault="00D86459" w:rsidP="00A60F53">
      <w:pPr>
        <w:ind w:firstLine="480"/>
      </w:pPr>
      <w:r>
        <w:rPr>
          <w:rFonts w:hint="eastAsia"/>
        </w:rPr>
        <w:t>3</w:t>
      </w:r>
      <w:r w:rsidR="00816CF2">
        <w:rPr>
          <w:rFonts w:hint="eastAsia"/>
        </w:rPr>
        <w:t>、</w:t>
      </w:r>
      <w:r w:rsidR="00636670" w:rsidRPr="0036070F">
        <w:rPr>
          <w:rFonts w:hint="eastAsia"/>
        </w:rPr>
        <w:t>基金托管人对</w:t>
      </w:r>
      <w:r w:rsidR="00636670">
        <w:rPr>
          <w:rFonts w:hint="eastAsia"/>
        </w:rPr>
        <w:t>万家利</w:t>
      </w:r>
      <w:r w:rsidR="00636670" w:rsidRPr="0036070F">
        <w:t>A</w:t>
      </w:r>
      <w:r w:rsidR="00636670" w:rsidRPr="0036070F">
        <w:rPr>
          <w:rFonts w:hint="eastAsia"/>
        </w:rPr>
        <w:t>和</w:t>
      </w:r>
      <w:r w:rsidR="00636670">
        <w:rPr>
          <w:rFonts w:hint="eastAsia"/>
        </w:rPr>
        <w:t>万家利</w:t>
      </w:r>
      <w:r w:rsidR="00636670" w:rsidRPr="0036070F">
        <w:t>B</w:t>
      </w:r>
      <w:r w:rsidR="00636670" w:rsidRPr="0036070F">
        <w:rPr>
          <w:rFonts w:hint="eastAsia"/>
        </w:rPr>
        <w:t>的基金份额参考净值、封闭期届满时基金份额净值及相关披露内容进行复核；</w:t>
      </w:r>
    </w:p>
    <w:p w:rsidR="00636670" w:rsidRPr="0036070F" w:rsidRDefault="00D86459" w:rsidP="00A60F53">
      <w:pPr>
        <w:ind w:firstLine="480"/>
      </w:pPr>
      <w:r>
        <w:rPr>
          <w:rFonts w:hint="eastAsia"/>
        </w:rPr>
        <w:lastRenderedPageBreak/>
        <w:t>4</w:t>
      </w:r>
      <w:r w:rsidR="00816CF2">
        <w:rPr>
          <w:rFonts w:hint="eastAsia"/>
        </w:rPr>
        <w:t>、</w:t>
      </w:r>
      <w:r w:rsidR="00636670" w:rsidRPr="0036070F">
        <w:rPr>
          <w:rFonts w:hint="eastAsia"/>
        </w:rPr>
        <w:t>在本基金封闭期届满并转换为上市开放式基金（</w:t>
      </w:r>
      <w:r w:rsidR="00636670" w:rsidRPr="0036070F">
        <w:t>LOF</w:t>
      </w:r>
      <w:r w:rsidR="00636670" w:rsidRPr="0036070F">
        <w:rPr>
          <w:rFonts w:hint="eastAsia"/>
        </w:rPr>
        <w:t>）后：</w:t>
      </w:r>
    </w:p>
    <w:p w:rsidR="00636670" w:rsidRPr="0036070F" w:rsidRDefault="00816CF2" w:rsidP="00A60F53">
      <w:pPr>
        <w:ind w:firstLine="480"/>
      </w:pPr>
      <w:r>
        <w:rPr>
          <w:rFonts w:hint="eastAsia"/>
        </w:rPr>
        <w:t>（</w:t>
      </w:r>
      <w:r>
        <w:rPr>
          <w:rFonts w:hint="eastAsia"/>
        </w:rPr>
        <w:t>1</w:t>
      </w:r>
      <w:r>
        <w:rPr>
          <w:rFonts w:hint="eastAsia"/>
        </w:rPr>
        <w:t>）</w:t>
      </w:r>
      <w:r w:rsidR="00636670" w:rsidRPr="0036070F">
        <w:rPr>
          <w:rFonts w:hint="eastAsia"/>
        </w:rPr>
        <w:t>在开始办理基金份额申购或者赎回前，基金管理人应当至少每周公告一次</w:t>
      </w:r>
      <w:r>
        <w:rPr>
          <w:rFonts w:hint="eastAsia"/>
        </w:rPr>
        <w:t>万家添利（</w:t>
      </w:r>
      <w:r>
        <w:rPr>
          <w:rFonts w:hint="eastAsia"/>
        </w:rPr>
        <w:t>LOF</w:t>
      </w:r>
      <w:r>
        <w:rPr>
          <w:rFonts w:hint="eastAsia"/>
        </w:rPr>
        <w:t>）的</w:t>
      </w:r>
      <w:r w:rsidR="00636670" w:rsidRPr="0036070F">
        <w:rPr>
          <w:rFonts w:hint="eastAsia"/>
        </w:rPr>
        <w:t>基金资产净值</w:t>
      </w:r>
      <w:r>
        <w:rPr>
          <w:rFonts w:hint="eastAsia"/>
        </w:rPr>
        <w:t>和</w:t>
      </w:r>
      <w:r w:rsidR="00636670" w:rsidRPr="0036070F">
        <w:rPr>
          <w:rFonts w:hint="eastAsia"/>
        </w:rPr>
        <w:t>基金份额净值。</w:t>
      </w:r>
    </w:p>
    <w:p w:rsidR="00636670" w:rsidRPr="0036070F" w:rsidRDefault="00816CF2" w:rsidP="00A60F53">
      <w:pPr>
        <w:ind w:firstLine="480"/>
      </w:pPr>
      <w:r>
        <w:rPr>
          <w:rFonts w:hint="eastAsia"/>
        </w:rPr>
        <w:t>（</w:t>
      </w:r>
      <w:r>
        <w:rPr>
          <w:rFonts w:hint="eastAsia"/>
        </w:rPr>
        <w:t>2</w:t>
      </w:r>
      <w:r>
        <w:rPr>
          <w:rFonts w:hint="eastAsia"/>
        </w:rPr>
        <w:t>）</w:t>
      </w:r>
      <w:r w:rsidR="00636670" w:rsidRPr="0036070F">
        <w:rPr>
          <w:rFonts w:hint="eastAsia"/>
        </w:rPr>
        <w:t>在开始办理基金份额申购或者赎回后，基金管理人应当在每个交易日的次日，通过基金管理人网站、基金份额发售网点以及其他媒介，披露交易日的基金份额净值和基金份额累计净值。</w:t>
      </w:r>
    </w:p>
    <w:p w:rsidR="00636670" w:rsidRPr="0036070F" w:rsidRDefault="00816CF2" w:rsidP="00A60F53">
      <w:pPr>
        <w:ind w:firstLine="480"/>
      </w:pPr>
      <w:r>
        <w:rPr>
          <w:rFonts w:hint="eastAsia"/>
        </w:rPr>
        <w:t>（</w:t>
      </w:r>
      <w:r>
        <w:rPr>
          <w:rFonts w:hint="eastAsia"/>
        </w:rPr>
        <w:t>3</w:t>
      </w:r>
      <w:r>
        <w:rPr>
          <w:rFonts w:hint="eastAsia"/>
        </w:rPr>
        <w:t>）</w:t>
      </w:r>
      <w:r w:rsidR="00636670" w:rsidRPr="0036070F">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rsidR="00636670" w:rsidRPr="00816CF2" w:rsidRDefault="00636670" w:rsidP="00816CF2">
      <w:pPr>
        <w:pStyle w:val="1"/>
        <w:spacing w:before="156" w:after="156"/>
      </w:pPr>
      <w:r w:rsidRPr="00816CF2">
        <w:rPr>
          <w:rFonts w:hint="eastAsia"/>
        </w:rPr>
        <w:t>其他需要提示的事项</w:t>
      </w:r>
    </w:p>
    <w:p w:rsidR="00636670" w:rsidRPr="0036070F" w:rsidRDefault="00816CF2" w:rsidP="00A60F53">
      <w:pPr>
        <w:ind w:firstLine="480"/>
      </w:pPr>
      <w:r>
        <w:rPr>
          <w:rFonts w:hint="eastAsia"/>
        </w:rPr>
        <w:t>1</w:t>
      </w:r>
      <w:r>
        <w:rPr>
          <w:rFonts w:hint="eastAsia"/>
        </w:rPr>
        <w:t>、</w:t>
      </w:r>
      <w:r w:rsidR="00636670" w:rsidRPr="0036070F">
        <w:rPr>
          <w:rFonts w:hint="eastAsia"/>
        </w:rPr>
        <w:t>本公告仅对本基金《基金合同》生效后</w:t>
      </w:r>
      <w:r w:rsidR="00636670">
        <w:rPr>
          <w:rFonts w:hint="eastAsia"/>
        </w:rPr>
        <w:t>3</w:t>
      </w:r>
      <w:r w:rsidR="00636670" w:rsidRPr="0036070F">
        <w:t> </w:t>
      </w:r>
      <w:r w:rsidR="00636670" w:rsidRPr="0036070F">
        <w:rPr>
          <w:rFonts w:hint="eastAsia"/>
        </w:rPr>
        <w:t>年期届满前，</w:t>
      </w:r>
      <w:r w:rsidR="00636670">
        <w:rPr>
          <w:rFonts w:hint="eastAsia"/>
        </w:rPr>
        <w:t>万家利</w:t>
      </w:r>
      <w:r w:rsidR="00636670" w:rsidRPr="0036070F">
        <w:t>A</w:t>
      </w:r>
      <w:r w:rsidR="00636670" w:rsidRPr="0036070F">
        <w:rPr>
          <w:rFonts w:hint="eastAsia"/>
        </w:rPr>
        <w:t>份额处理方式的开放赎回日，即</w:t>
      </w:r>
      <w:r w:rsidR="00636670">
        <w:t>2014</w:t>
      </w:r>
      <w:r w:rsidR="00636670" w:rsidRPr="0036070F">
        <w:rPr>
          <w:rFonts w:hint="eastAsia"/>
        </w:rPr>
        <w:t>年</w:t>
      </w:r>
      <w:r w:rsidR="00636670">
        <w:t>5</w:t>
      </w:r>
      <w:r w:rsidR="00636670" w:rsidRPr="0036070F">
        <w:rPr>
          <w:rFonts w:hint="eastAsia"/>
        </w:rPr>
        <w:t>月</w:t>
      </w:r>
      <w:r w:rsidR="00636670">
        <w:t>30</w:t>
      </w:r>
      <w:r w:rsidR="00636670" w:rsidRPr="0036070F">
        <w:rPr>
          <w:rFonts w:hint="eastAsia"/>
        </w:rPr>
        <w:t>日，开放赎回</w:t>
      </w:r>
      <w:r w:rsidR="00636670" w:rsidRPr="00283AC2">
        <w:rPr>
          <w:rFonts w:hint="eastAsia"/>
        </w:rPr>
        <w:t>业务的有关事项予以说明。投资者欲了解本基金的详细情况，请详细阅读刊登在</w:t>
      </w:r>
      <w:r w:rsidR="00636670" w:rsidRPr="00283AC2">
        <w:t>2014</w:t>
      </w:r>
      <w:r w:rsidR="00636670" w:rsidRPr="00283AC2">
        <w:rPr>
          <w:rFonts w:hint="eastAsia"/>
        </w:rPr>
        <w:t>年</w:t>
      </w:r>
      <w:r w:rsidR="00636670" w:rsidRPr="00283AC2">
        <w:t>1</w:t>
      </w:r>
      <w:r w:rsidR="00636670" w:rsidRPr="00283AC2">
        <w:rPr>
          <w:rFonts w:hint="eastAsia"/>
        </w:rPr>
        <w:t>月</w:t>
      </w:r>
      <w:r w:rsidR="00636670" w:rsidRPr="00283AC2">
        <w:t>16</w:t>
      </w:r>
      <w:r w:rsidR="00636670" w:rsidRPr="00283AC2">
        <w:rPr>
          <w:rFonts w:hint="eastAsia"/>
        </w:rPr>
        <w:t>日《</w:t>
      </w:r>
      <w:r w:rsidR="00636670" w:rsidRPr="0036070F">
        <w:rPr>
          <w:rFonts w:hint="eastAsia"/>
        </w:rPr>
        <w:t>中国证券报》、《上海证券报》和《证券时报》上的《</w:t>
      </w:r>
      <w:r w:rsidR="00636670">
        <w:rPr>
          <w:rFonts w:hint="eastAsia"/>
        </w:rPr>
        <w:t>万家添利</w:t>
      </w:r>
      <w:r w:rsidR="00636670" w:rsidRPr="0036070F">
        <w:rPr>
          <w:rFonts w:hint="eastAsia"/>
        </w:rPr>
        <w:t>分级债券型证券投资基金招募说明书》。投资者亦可通过本公司网站或相关代销机构查阅《</w:t>
      </w:r>
      <w:r w:rsidR="00636670">
        <w:rPr>
          <w:rFonts w:hint="eastAsia"/>
        </w:rPr>
        <w:t>万家添利</w:t>
      </w:r>
      <w:r w:rsidR="00636670" w:rsidRPr="0036070F">
        <w:rPr>
          <w:rFonts w:hint="eastAsia"/>
        </w:rPr>
        <w:t>分级债券型证券投资基金基金合同》和《</w:t>
      </w:r>
      <w:r w:rsidR="00636670">
        <w:rPr>
          <w:rFonts w:hint="eastAsia"/>
        </w:rPr>
        <w:t>万家添利</w:t>
      </w:r>
      <w:r w:rsidR="00636670" w:rsidRPr="0036070F">
        <w:rPr>
          <w:rFonts w:hint="eastAsia"/>
        </w:rPr>
        <w:t>分级债券型证券投资基金招募说明书》等相关资料。</w:t>
      </w:r>
    </w:p>
    <w:p w:rsidR="00636670" w:rsidRPr="0036070F" w:rsidRDefault="00816CF2" w:rsidP="00A60F53">
      <w:pPr>
        <w:ind w:firstLine="480"/>
      </w:pPr>
      <w:r>
        <w:rPr>
          <w:rFonts w:hint="eastAsia"/>
        </w:rPr>
        <w:t>2</w:t>
      </w:r>
      <w:r>
        <w:rPr>
          <w:rFonts w:hint="eastAsia"/>
        </w:rPr>
        <w:t>、</w:t>
      </w:r>
      <w:r w:rsidR="00636670" w:rsidRPr="0036070F">
        <w:rPr>
          <w:rFonts w:hint="eastAsia"/>
        </w:rPr>
        <w:t>有关</w:t>
      </w:r>
      <w:r w:rsidR="00636670">
        <w:rPr>
          <w:rFonts w:hint="eastAsia"/>
        </w:rPr>
        <w:t>万家利</w:t>
      </w:r>
      <w:r w:rsidR="00636670" w:rsidRPr="0036070F">
        <w:t>A</w:t>
      </w:r>
      <w:r w:rsidR="00636670" w:rsidRPr="0036070F">
        <w:rPr>
          <w:rFonts w:hint="eastAsia"/>
        </w:rPr>
        <w:t>本次开放日开放申购、赎回的具体规定若有变化，本公司将另行公告。</w:t>
      </w:r>
    </w:p>
    <w:p w:rsidR="00636670" w:rsidRPr="0036070F" w:rsidRDefault="00816CF2" w:rsidP="00A60F53">
      <w:pPr>
        <w:ind w:firstLine="480"/>
      </w:pPr>
      <w:r>
        <w:rPr>
          <w:rFonts w:hint="eastAsia"/>
        </w:rPr>
        <w:t>3</w:t>
      </w:r>
      <w:r>
        <w:rPr>
          <w:rFonts w:hint="eastAsia"/>
        </w:rPr>
        <w:t>、</w:t>
      </w:r>
      <w:r w:rsidR="00636670" w:rsidRPr="0036070F">
        <w:rPr>
          <w:rFonts w:hint="eastAsia"/>
        </w:rPr>
        <w:t>开放日当日</w:t>
      </w:r>
      <w:r w:rsidR="00636670" w:rsidRPr="0036070F">
        <w:t>15</w:t>
      </w:r>
      <w:r w:rsidR="00636670" w:rsidRPr="0036070F">
        <w:rPr>
          <w:rFonts w:hint="eastAsia"/>
        </w:rPr>
        <w:t>：</w:t>
      </w:r>
      <w:r w:rsidR="00636670" w:rsidRPr="0036070F">
        <w:t>00</w:t>
      </w:r>
      <w:r w:rsidR="00636670" w:rsidRPr="0036070F">
        <w:rPr>
          <w:rFonts w:hint="eastAsia"/>
        </w:rPr>
        <w:t>前接受办理</w:t>
      </w:r>
      <w:r w:rsidR="00636670">
        <w:rPr>
          <w:rFonts w:hint="eastAsia"/>
        </w:rPr>
        <w:t>万家利</w:t>
      </w:r>
      <w:r w:rsidR="00636670" w:rsidRPr="0036070F">
        <w:t>A</w:t>
      </w:r>
      <w:r w:rsidR="00636670" w:rsidRPr="0036070F">
        <w:rPr>
          <w:rFonts w:hint="eastAsia"/>
        </w:rPr>
        <w:t>份额的赎回业务，开放日当日</w:t>
      </w:r>
      <w:r w:rsidR="00636670" w:rsidRPr="0036070F">
        <w:t>15</w:t>
      </w:r>
      <w:r w:rsidR="00636670" w:rsidRPr="0036070F">
        <w:rPr>
          <w:rFonts w:hint="eastAsia"/>
        </w:rPr>
        <w:t>：</w:t>
      </w:r>
      <w:r w:rsidR="00636670" w:rsidRPr="0036070F">
        <w:t>00</w:t>
      </w:r>
      <w:r w:rsidR="00636670" w:rsidRPr="0036070F">
        <w:rPr>
          <w:rFonts w:hint="eastAsia"/>
        </w:rPr>
        <w:t>以后不再接受办理</w:t>
      </w:r>
      <w:r w:rsidR="00636670">
        <w:rPr>
          <w:rFonts w:hint="eastAsia"/>
        </w:rPr>
        <w:t>万家利</w:t>
      </w:r>
      <w:r w:rsidR="00636670" w:rsidRPr="0036070F">
        <w:t>A</w:t>
      </w:r>
      <w:r w:rsidR="00636670" w:rsidRPr="0036070F">
        <w:rPr>
          <w:rFonts w:hint="eastAsia"/>
        </w:rPr>
        <w:t>份额的赎回业务。</w:t>
      </w:r>
    </w:p>
    <w:p w:rsidR="00636670" w:rsidRPr="0036070F" w:rsidRDefault="00816CF2" w:rsidP="00A60F53">
      <w:pPr>
        <w:ind w:firstLine="480"/>
      </w:pPr>
      <w:r>
        <w:rPr>
          <w:rFonts w:hint="eastAsia"/>
        </w:rPr>
        <w:t>4</w:t>
      </w:r>
      <w:r>
        <w:rPr>
          <w:rFonts w:hint="eastAsia"/>
        </w:rPr>
        <w:t>、</w:t>
      </w:r>
      <w:r w:rsidR="00636670" w:rsidRPr="0036070F">
        <w:rPr>
          <w:rFonts w:hint="eastAsia"/>
        </w:rPr>
        <w:t>风险提示：基金管理人承诺以诚实信用、勤勉尽责的原则管理和运用基金资产，但不保证基金一定盈利，也不保证最低收益。投资者投资于本基金前应认真阅读本基金的招募说明书。</w:t>
      </w:r>
    </w:p>
    <w:p w:rsidR="00636670" w:rsidRPr="0036070F" w:rsidRDefault="00816CF2" w:rsidP="00A60F53">
      <w:pPr>
        <w:ind w:firstLine="480"/>
      </w:pPr>
      <w:r>
        <w:rPr>
          <w:rFonts w:hint="eastAsia"/>
        </w:rPr>
        <w:t>5</w:t>
      </w:r>
      <w:r>
        <w:rPr>
          <w:rFonts w:hint="eastAsia"/>
        </w:rPr>
        <w:t>、</w:t>
      </w:r>
      <w:r w:rsidR="00636670" w:rsidRPr="0036070F">
        <w:rPr>
          <w:rFonts w:hint="eastAsia"/>
        </w:rPr>
        <w:t>咨询方式：</w:t>
      </w:r>
    </w:p>
    <w:p w:rsidR="00636670" w:rsidRPr="0036070F" w:rsidRDefault="00636670" w:rsidP="00A60F53">
      <w:pPr>
        <w:ind w:firstLine="480"/>
      </w:pPr>
      <w:r>
        <w:rPr>
          <w:rFonts w:hint="eastAsia"/>
        </w:rPr>
        <w:t>万家</w:t>
      </w:r>
      <w:r w:rsidRPr="0036070F">
        <w:rPr>
          <w:rFonts w:hint="eastAsia"/>
        </w:rPr>
        <w:t>基金管理有限公司</w:t>
      </w:r>
    </w:p>
    <w:p w:rsidR="00636670" w:rsidRPr="0036070F" w:rsidRDefault="00636670" w:rsidP="00A60F53">
      <w:pPr>
        <w:ind w:firstLine="480"/>
      </w:pPr>
      <w:r w:rsidRPr="0036070F">
        <w:rPr>
          <w:rFonts w:hint="eastAsia"/>
        </w:rPr>
        <w:t>客服热线：</w:t>
      </w:r>
      <w:r w:rsidRPr="0036070F">
        <w:t>400-</w:t>
      </w:r>
      <w:r>
        <w:rPr>
          <w:rFonts w:hint="eastAsia"/>
        </w:rPr>
        <w:t>888</w:t>
      </w:r>
      <w:r>
        <w:t>-080</w:t>
      </w:r>
      <w:r w:rsidRPr="0036070F">
        <w:t>0</w:t>
      </w:r>
    </w:p>
    <w:p w:rsidR="00636670" w:rsidRDefault="00636670" w:rsidP="00A60F53">
      <w:pPr>
        <w:ind w:firstLine="480"/>
      </w:pPr>
      <w:r w:rsidRPr="0036070F">
        <w:rPr>
          <w:rFonts w:hint="eastAsia"/>
        </w:rPr>
        <w:t>公司网址：</w:t>
      </w:r>
      <w:hyperlink r:id="rId9" w:history="1">
        <w:r w:rsidR="006676B8" w:rsidRPr="00DF6846">
          <w:rPr>
            <w:rStyle w:val="ad"/>
            <w:szCs w:val="22"/>
          </w:rPr>
          <w:t>www.wjasset.com</w:t>
        </w:r>
      </w:hyperlink>
    </w:p>
    <w:p w:rsidR="006676B8" w:rsidRPr="0036070F" w:rsidRDefault="006676B8" w:rsidP="00A60F53">
      <w:pPr>
        <w:ind w:firstLine="480"/>
      </w:pPr>
    </w:p>
    <w:p w:rsidR="00636670" w:rsidRPr="00DE2BE6" w:rsidRDefault="00636670" w:rsidP="00A60F53">
      <w:pPr>
        <w:ind w:firstLine="480"/>
        <w:jc w:val="right"/>
      </w:pPr>
      <w:r>
        <w:rPr>
          <w:rFonts w:hint="eastAsia"/>
        </w:rPr>
        <w:lastRenderedPageBreak/>
        <w:t>万家</w:t>
      </w:r>
      <w:r w:rsidRPr="00DE2BE6">
        <w:rPr>
          <w:rFonts w:hint="eastAsia"/>
        </w:rPr>
        <w:t>基金管理有限公司</w:t>
      </w:r>
    </w:p>
    <w:p w:rsidR="00636670" w:rsidRPr="00DE2BE6" w:rsidRDefault="00636670" w:rsidP="00A60F53">
      <w:pPr>
        <w:ind w:firstLine="480"/>
        <w:jc w:val="right"/>
      </w:pPr>
      <w:r w:rsidRPr="00DE2BE6">
        <w:rPr>
          <w:rFonts w:hint="eastAsia"/>
        </w:rPr>
        <w:t>2014</w:t>
      </w:r>
      <w:r w:rsidRPr="00DE2BE6">
        <w:rPr>
          <w:rFonts w:hint="eastAsia"/>
        </w:rPr>
        <w:t>年</w:t>
      </w:r>
      <w:r>
        <w:t>5</w:t>
      </w:r>
      <w:r w:rsidRPr="00DE2BE6">
        <w:rPr>
          <w:rFonts w:hint="eastAsia"/>
        </w:rPr>
        <w:t>月</w:t>
      </w:r>
      <w:r>
        <w:t>28</w:t>
      </w:r>
      <w:r w:rsidRPr="00DE2BE6">
        <w:rPr>
          <w:rFonts w:hint="eastAsia"/>
        </w:rPr>
        <w:t>日</w:t>
      </w:r>
    </w:p>
    <w:p w:rsidR="00636670" w:rsidRPr="001011C9" w:rsidRDefault="00636670" w:rsidP="00636670">
      <w:pPr>
        <w:ind w:firstLine="480"/>
      </w:pPr>
    </w:p>
    <w:p w:rsidR="001B372B" w:rsidRPr="001A3E4B" w:rsidRDefault="001B372B" w:rsidP="001A3E4B">
      <w:pPr>
        <w:ind w:firstLineChars="0" w:firstLine="0"/>
      </w:pPr>
    </w:p>
    <w:sectPr w:rsidR="001B372B" w:rsidRPr="001A3E4B" w:rsidSect="0030516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3F2" w:rsidRDefault="002C53F2" w:rsidP="006A3F0E">
      <w:pPr>
        <w:spacing w:line="240" w:lineRule="auto"/>
        <w:ind w:firstLine="480"/>
      </w:pPr>
      <w:r>
        <w:separator/>
      </w:r>
    </w:p>
  </w:endnote>
  <w:endnote w:type="continuationSeparator" w:id="1">
    <w:p w:rsidR="002C53F2" w:rsidRDefault="002C53F2" w:rsidP="006A3F0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AC2" w:rsidRDefault="00283AC2" w:rsidP="00283AC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1123"/>
      <w:docPartObj>
        <w:docPartGallery w:val="Page Numbers (Bottom of Page)"/>
        <w:docPartUnique/>
      </w:docPartObj>
    </w:sdtPr>
    <w:sdtContent>
      <w:p w:rsidR="00321862" w:rsidRDefault="0042669A" w:rsidP="00D71FF7">
        <w:pPr>
          <w:pStyle w:val="a4"/>
          <w:ind w:firstLine="360"/>
          <w:jc w:val="center"/>
        </w:pPr>
        <w:fldSimple w:instr=" PAGE   \* MERGEFORMAT ">
          <w:r w:rsidR="002C20DE" w:rsidRPr="002C20DE">
            <w:rPr>
              <w:noProof/>
              <w:lang w:val="zh-CN"/>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AC2" w:rsidRDefault="00283AC2" w:rsidP="00283AC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3F2" w:rsidRDefault="002C53F2" w:rsidP="006A3F0E">
      <w:pPr>
        <w:spacing w:line="240" w:lineRule="auto"/>
        <w:ind w:firstLine="480"/>
      </w:pPr>
      <w:r>
        <w:separator/>
      </w:r>
    </w:p>
  </w:footnote>
  <w:footnote w:type="continuationSeparator" w:id="1">
    <w:p w:rsidR="002C53F2" w:rsidRDefault="002C53F2" w:rsidP="006A3F0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AC2" w:rsidRDefault="00283AC2" w:rsidP="00283AC2">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AC2" w:rsidRDefault="00283AC2" w:rsidP="00283AC2">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AC2" w:rsidRDefault="00283AC2" w:rsidP="00283AC2">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E44"/>
      </v:shape>
    </w:pict>
  </w:numPicBullet>
  <w:abstractNum w:abstractNumId="0">
    <w:nsid w:val="064A7B99"/>
    <w:multiLevelType w:val="hybridMultilevel"/>
    <w:tmpl w:val="E2509B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1D6762"/>
    <w:multiLevelType w:val="hybridMultilevel"/>
    <w:tmpl w:val="9662C4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897610"/>
    <w:multiLevelType w:val="hybridMultilevel"/>
    <w:tmpl w:val="7804AC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285AC0"/>
    <w:multiLevelType w:val="hybridMultilevel"/>
    <w:tmpl w:val="E41CC7C4"/>
    <w:lvl w:ilvl="0" w:tplc="81066540">
      <w:start w:val="1"/>
      <w:numFmt w:val="decimal"/>
      <w:pStyle w:val="4"/>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0A73EB"/>
    <w:multiLevelType w:val="hybridMultilevel"/>
    <w:tmpl w:val="5E765108"/>
    <w:lvl w:ilvl="0" w:tplc="04090001">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3">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2B481B1E"/>
    <w:multiLevelType w:val="hybridMultilevel"/>
    <w:tmpl w:val="C2EEA3C6"/>
    <w:lvl w:ilvl="0" w:tplc="062C1226">
      <w:start w:val="1"/>
      <w:numFmt w:val="chineseCountingThousand"/>
      <w:pStyle w:val="1"/>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991F31"/>
    <w:multiLevelType w:val="hybridMultilevel"/>
    <w:tmpl w:val="39B8BC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FE0BBB"/>
    <w:multiLevelType w:val="hybridMultilevel"/>
    <w:tmpl w:val="FB22DD84"/>
    <w:lvl w:ilvl="0" w:tplc="92E27226">
      <w:start w:val="1"/>
      <w:numFmt w:val="chineseCountingThousand"/>
      <w:pStyle w:val="2"/>
      <w:suff w:val="space"/>
      <w:lvlText w:val="（%1）"/>
      <w:lvlJc w:val="left"/>
      <w:pPr>
        <w:ind w:left="420" w:hanging="420"/>
      </w:pPr>
      <w:rPr>
        <w:rFonts w:hint="eastAsia"/>
      </w:rPr>
    </w:lvl>
    <w:lvl w:ilvl="1" w:tplc="04090019" w:tentative="1">
      <w:start w:val="1"/>
      <w:numFmt w:val="lowerLetter"/>
      <w:lvlText w:val="%2)"/>
      <w:lvlJc w:val="left"/>
      <w:pPr>
        <w:ind w:left="0" w:hanging="420"/>
      </w:pPr>
    </w:lvl>
    <w:lvl w:ilvl="2" w:tplc="0409001B" w:tentative="1">
      <w:start w:val="1"/>
      <w:numFmt w:val="lowerRoman"/>
      <w:lvlText w:val="%3."/>
      <w:lvlJc w:val="right"/>
      <w:pPr>
        <w:ind w:left="420" w:hanging="420"/>
      </w:pPr>
    </w:lvl>
    <w:lvl w:ilvl="3" w:tplc="0409000F" w:tentative="1">
      <w:start w:val="1"/>
      <w:numFmt w:val="decimal"/>
      <w:lvlText w:val="%4."/>
      <w:lvlJc w:val="left"/>
      <w:pPr>
        <w:ind w:left="840" w:hanging="420"/>
      </w:pPr>
    </w:lvl>
    <w:lvl w:ilvl="4" w:tplc="04090019" w:tentative="1">
      <w:start w:val="1"/>
      <w:numFmt w:val="lowerLetter"/>
      <w:lvlText w:val="%5)"/>
      <w:lvlJc w:val="left"/>
      <w:pPr>
        <w:ind w:left="1260" w:hanging="420"/>
      </w:pPr>
    </w:lvl>
    <w:lvl w:ilvl="5" w:tplc="0409001B" w:tentative="1">
      <w:start w:val="1"/>
      <w:numFmt w:val="lowerRoman"/>
      <w:lvlText w:val="%6."/>
      <w:lvlJc w:val="right"/>
      <w:pPr>
        <w:ind w:left="1680" w:hanging="420"/>
      </w:pPr>
    </w:lvl>
    <w:lvl w:ilvl="6" w:tplc="0409000F" w:tentative="1">
      <w:start w:val="1"/>
      <w:numFmt w:val="decimal"/>
      <w:lvlText w:val="%7."/>
      <w:lvlJc w:val="left"/>
      <w:pPr>
        <w:ind w:left="2100" w:hanging="420"/>
      </w:pPr>
    </w:lvl>
    <w:lvl w:ilvl="7" w:tplc="04090019" w:tentative="1">
      <w:start w:val="1"/>
      <w:numFmt w:val="lowerLetter"/>
      <w:lvlText w:val="%8)"/>
      <w:lvlJc w:val="left"/>
      <w:pPr>
        <w:ind w:left="2520" w:hanging="420"/>
      </w:pPr>
    </w:lvl>
    <w:lvl w:ilvl="8" w:tplc="0409001B" w:tentative="1">
      <w:start w:val="1"/>
      <w:numFmt w:val="lowerRoman"/>
      <w:lvlText w:val="%9."/>
      <w:lvlJc w:val="right"/>
      <w:pPr>
        <w:ind w:left="2940" w:hanging="420"/>
      </w:pPr>
    </w:lvl>
  </w:abstractNum>
  <w:abstractNum w:abstractNumId="8">
    <w:nsid w:val="62830B23"/>
    <w:multiLevelType w:val="hybridMultilevel"/>
    <w:tmpl w:val="7FB6F4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B344B2"/>
    <w:multiLevelType w:val="hybridMultilevel"/>
    <w:tmpl w:val="E4285A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0A5145"/>
    <w:multiLevelType w:val="hybridMultilevel"/>
    <w:tmpl w:val="FFB8C436"/>
    <w:lvl w:ilvl="0" w:tplc="04090009">
      <w:start w:val="1"/>
      <w:numFmt w:val="bullet"/>
      <w:lvlText w:val=""/>
      <w:lvlJc w:val="left"/>
      <w:pPr>
        <w:ind w:left="1680" w:hanging="420"/>
      </w:pPr>
      <w:rPr>
        <w:rFonts w:ascii="Wingdings" w:hAnsi="Wingdings" w:hint="default"/>
      </w:rPr>
    </w:lvl>
    <w:lvl w:ilvl="1" w:tplc="0409000D">
      <w:start w:val="1"/>
      <w:numFmt w:val="bullet"/>
      <w:lvlText w:val=""/>
      <w:lvlJc w:val="left"/>
      <w:pPr>
        <w:ind w:left="2100" w:hanging="420"/>
      </w:pPr>
      <w:rPr>
        <w:rFonts w:ascii="Wingdings" w:hAnsi="Wingdings" w:hint="default"/>
      </w:rPr>
    </w:lvl>
    <w:lvl w:ilvl="2" w:tplc="04090005" w:tentative="1">
      <w:start w:val="1"/>
      <w:numFmt w:val="lowerRoman"/>
      <w:lvlText w:val="%3."/>
      <w:lvlJc w:val="right"/>
      <w:pPr>
        <w:ind w:left="2520" w:hanging="420"/>
      </w:pPr>
    </w:lvl>
    <w:lvl w:ilvl="3" w:tplc="04090001" w:tentative="1">
      <w:start w:val="1"/>
      <w:numFmt w:val="decimal"/>
      <w:lvlText w:val="%4."/>
      <w:lvlJc w:val="left"/>
      <w:pPr>
        <w:ind w:left="2940" w:hanging="420"/>
      </w:pPr>
    </w:lvl>
    <w:lvl w:ilvl="4" w:tplc="04090003" w:tentative="1">
      <w:start w:val="1"/>
      <w:numFmt w:val="lowerLetter"/>
      <w:lvlText w:val="%5)"/>
      <w:lvlJc w:val="left"/>
      <w:pPr>
        <w:ind w:left="3360" w:hanging="420"/>
      </w:pPr>
    </w:lvl>
    <w:lvl w:ilvl="5" w:tplc="04090005" w:tentative="1">
      <w:start w:val="1"/>
      <w:numFmt w:val="lowerRoman"/>
      <w:lvlText w:val="%6."/>
      <w:lvlJc w:val="right"/>
      <w:pPr>
        <w:ind w:left="3780" w:hanging="420"/>
      </w:pPr>
    </w:lvl>
    <w:lvl w:ilvl="6" w:tplc="04090001" w:tentative="1">
      <w:start w:val="1"/>
      <w:numFmt w:val="decimal"/>
      <w:lvlText w:val="%7."/>
      <w:lvlJc w:val="left"/>
      <w:pPr>
        <w:ind w:left="4200" w:hanging="420"/>
      </w:pPr>
    </w:lvl>
    <w:lvl w:ilvl="7" w:tplc="04090003" w:tentative="1">
      <w:start w:val="1"/>
      <w:numFmt w:val="lowerLetter"/>
      <w:lvlText w:val="%8)"/>
      <w:lvlJc w:val="left"/>
      <w:pPr>
        <w:ind w:left="4620" w:hanging="420"/>
      </w:pPr>
    </w:lvl>
    <w:lvl w:ilvl="8" w:tplc="04090005" w:tentative="1">
      <w:start w:val="1"/>
      <w:numFmt w:val="lowerRoman"/>
      <w:lvlText w:val="%9."/>
      <w:lvlJc w:val="right"/>
      <w:pPr>
        <w:ind w:left="5040" w:hanging="420"/>
      </w:pPr>
    </w:lvl>
  </w:abstractNum>
  <w:abstractNum w:abstractNumId="11">
    <w:nsid w:val="717E46DC"/>
    <w:multiLevelType w:val="hybridMultilevel"/>
    <w:tmpl w:val="48204EC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65E4E16"/>
    <w:multiLevelType w:val="hybridMultilevel"/>
    <w:tmpl w:val="ADF653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CC0144"/>
    <w:multiLevelType w:val="hybridMultilevel"/>
    <w:tmpl w:val="5AF4B28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CE81521"/>
    <w:multiLevelType w:val="hybridMultilevel"/>
    <w:tmpl w:val="4EF44452"/>
    <w:lvl w:ilvl="0" w:tplc="7AE8AD14">
      <w:start w:val="1"/>
      <w:numFmt w:val="decimal"/>
      <w:pStyle w:val="3"/>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0"/>
  </w:num>
  <w:num w:numId="3">
    <w:abstractNumId w:val="10"/>
    <w:lvlOverride w:ilvl="0">
      <w:startOverride w:val="1"/>
    </w:lvlOverride>
  </w:num>
  <w:num w:numId="4">
    <w:abstractNumId w:val="3"/>
  </w:num>
  <w:num w:numId="5">
    <w:abstractNumId w:val="7"/>
  </w:num>
  <w:num w:numId="6">
    <w:abstractNumId w:val="7"/>
    <w:lvlOverride w:ilvl="0">
      <w:startOverride w:val="1"/>
    </w:lvlOverride>
  </w:num>
  <w:num w:numId="7">
    <w:abstractNumId w:val="7"/>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3"/>
  </w:num>
  <w:num w:numId="17">
    <w:abstractNumId w:val="7"/>
    <w:lvlOverride w:ilvl="0">
      <w:startOverride w:val="1"/>
    </w:lvlOverride>
  </w:num>
  <w:num w:numId="18">
    <w:abstractNumId w:val="10"/>
  </w:num>
  <w:num w:numId="19">
    <w:abstractNumId w:val="4"/>
  </w:num>
  <w:num w:numId="20">
    <w:abstractNumId w:val="6"/>
  </w:num>
  <w:num w:numId="21">
    <w:abstractNumId w:val="0"/>
  </w:num>
  <w:num w:numId="22">
    <w:abstractNumId w:val="2"/>
  </w:num>
  <w:num w:numId="23">
    <w:abstractNumId w:val="8"/>
  </w:num>
  <w:num w:numId="24">
    <w:abstractNumId w:val="12"/>
  </w:num>
  <w:num w:numId="25">
    <w:abstractNumId w:val="9"/>
  </w:num>
  <w:num w:numId="26">
    <w:abstractNumId w:val="1"/>
  </w:num>
  <w:num w:numId="27">
    <w:abstractNumId w:val="11"/>
  </w:num>
  <w:num w:numId="28">
    <w:abstractNumId w:val="14"/>
  </w:num>
  <w:num w:numId="29">
    <w:abstractNumId w:val="14"/>
    <w:lvlOverride w:ilvl="0">
      <w:startOverride w:val="1"/>
    </w:lvlOverride>
  </w:num>
  <w:num w:numId="30">
    <w:abstractNumId w:val="14"/>
    <w:lvlOverride w:ilvl="0">
      <w:startOverride w:val="1"/>
    </w:lvlOverride>
  </w:num>
  <w:num w:numId="31">
    <w:abstractNumId w:val="7"/>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0F53"/>
    <w:rsid w:val="000002F1"/>
    <w:rsid w:val="00002948"/>
    <w:rsid w:val="00012F66"/>
    <w:rsid w:val="00013515"/>
    <w:rsid w:val="00016CB2"/>
    <w:rsid w:val="0002174E"/>
    <w:rsid w:val="00021F3B"/>
    <w:rsid w:val="00030DF0"/>
    <w:rsid w:val="00030FDE"/>
    <w:rsid w:val="00032682"/>
    <w:rsid w:val="00037D49"/>
    <w:rsid w:val="00043F39"/>
    <w:rsid w:val="00056E17"/>
    <w:rsid w:val="000601FC"/>
    <w:rsid w:val="00061174"/>
    <w:rsid w:val="000623BA"/>
    <w:rsid w:val="00065D2B"/>
    <w:rsid w:val="00066624"/>
    <w:rsid w:val="00071CA1"/>
    <w:rsid w:val="00072B80"/>
    <w:rsid w:val="000858D0"/>
    <w:rsid w:val="00086AE3"/>
    <w:rsid w:val="00092C93"/>
    <w:rsid w:val="000953CE"/>
    <w:rsid w:val="00096270"/>
    <w:rsid w:val="0009768F"/>
    <w:rsid w:val="000978DD"/>
    <w:rsid w:val="00097E99"/>
    <w:rsid w:val="000A3B4A"/>
    <w:rsid w:val="000A5E57"/>
    <w:rsid w:val="000A64CB"/>
    <w:rsid w:val="000B4BFC"/>
    <w:rsid w:val="000B6482"/>
    <w:rsid w:val="000B7C05"/>
    <w:rsid w:val="000C2A4A"/>
    <w:rsid w:val="000D242A"/>
    <w:rsid w:val="000D28A4"/>
    <w:rsid w:val="000D365E"/>
    <w:rsid w:val="000D73C1"/>
    <w:rsid w:val="000D7B9B"/>
    <w:rsid w:val="000E0A53"/>
    <w:rsid w:val="000F1587"/>
    <w:rsid w:val="000F1C8E"/>
    <w:rsid w:val="000F3013"/>
    <w:rsid w:val="000F55C9"/>
    <w:rsid w:val="0010164B"/>
    <w:rsid w:val="00101E6E"/>
    <w:rsid w:val="00103F8B"/>
    <w:rsid w:val="001203D9"/>
    <w:rsid w:val="0012631C"/>
    <w:rsid w:val="00126594"/>
    <w:rsid w:val="001266CC"/>
    <w:rsid w:val="001273BD"/>
    <w:rsid w:val="001325B1"/>
    <w:rsid w:val="00132758"/>
    <w:rsid w:val="00135ECF"/>
    <w:rsid w:val="0014115E"/>
    <w:rsid w:val="001420CF"/>
    <w:rsid w:val="0014244B"/>
    <w:rsid w:val="00144EB7"/>
    <w:rsid w:val="00145439"/>
    <w:rsid w:val="001467E3"/>
    <w:rsid w:val="00147845"/>
    <w:rsid w:val="00154207"/>
    <w:rsid w:val="0015517C"/>
    <w:rsid w:val="00170905"/>
    <w:rsid w:val="00171A57"/>
    <w:rsid w:val="001725F7"/>
    <w:rsid w:val="00173C74"/>
    <w:rsid w:val="00184C42"/>
    <w:rsid w:val="001A17F1"/>
    <w:rsid w:val="001A2C88"/>
    <w:rsid w:val="001A3E4B"/>
    <w:rsid w:val="001A5727"/>
    <w:rsid w:val="001B2123"/>
    <w:rsid w:val="001B372B"/>
    <w:rsid w:val="001C06D1"/>
    <w:rsid w:val="001C0F65"/>
    <w:rsid w:val="001C7045"/>
    <w:rsid w:val="001D1451"/>
    <w:rsid w:val="001D364B"/>
    <w:rsid w:val="001D3D49"/>
    <w:rsid w:val="001D68DD"/>
    <w:rsid w:val="001E6DCC"/>
    <w:rsid w:val="001F0DC1"/>
    <w:rsid w:val="001F390A"/>
    <w:rsid w:val="001F6E42"/>
    <w:rsid w:val="001F72A2"/>
    <w:rsid w:val="0020782D"/>
    <w:rsid w:val="00221B32"/>
    <w:rsid w:val="002225D4"/>
    <w:rsid w:val="00227670"/>
    <w:rsid w:val="00235973"/>
    <w:rsid w:val="00241471"/>
    <w:rsid w:val="002415FA"/>
    <w:rsid w:val="00255CB4"/>
    <w:rsid w:val="00262675"/>
    <w:rsid w:val="002649DB"/>
    <w:rsid w:val="00273DE1"/>
    <w:rsid w:val="00275DBE"/>
    <w:rsid w:val="00277C78"/>
    <w:rsid w:val="00283AC2"/>
    <w:rsid w:val="00295F58"/>
    <w:rsid w:val="002A3415"/>
    <w:rsid w:val="002A36AB"/>
    <w:rsid w:val="002A56C9"/>
    <w:rsid w:val="002B154A"/>
    <w:rsid w:val="002B4989"/>
    <w:rsid w:val="002B7F00"/>
    <w:rsid w:val="002C1080"/>
    <w:rsid w:val="002C13BB"/>
    <w:rsid w:val="002C20DE"/>
    <w:rsid w:val="002C2863"/>
    <w:rsid w:val="002C53F2"/>
    <w:rsid w:val="002C6D41"/>
    <w:rsid w:val="002D3415"/>
    <w:rsid w:val="002D3DD0"/>
    <w:rsid w:val="002D5EB9"/>
    <w:rsid w:val="002D74F2"/>
    <w:rsid w:val="002D7D52"/>
    <w:rsid w:val="002D7D8B"/>
    <w:rsid w:val="002E0DB6"/>
    <w:rsid w:val="002E2300"/>
    <w:rsid w:val="002F2A55"/>
    <w:rsid w:val="002F7361"/>
    <w:rsid w:val="00301D65"/>
    <w:rsid w:val="00305164"/>
    <w:rsid w:val="00310529"/>
    <w:rsid w:val="00314A8E"/>
    <w:rsid w:val="00321862"/>
    <w:rsid w:val="0032297F"/>
    <w:rsid w:val="0033572A"/>
    <w:rsid w:val="00336A0B"/>
    <w:rsid w:val="00337B7E"/>
    <w:rsid w:val="00342189"/>
    <w:rsid w:val="00350D62"/>
    <w:rsid w:val="0036208F"/>
    <w:rsid w:val="00365966"/>
    <w:rsid w:val="00366A5D"/>
    <w:rsid w:val="00366F12"/>
    <w:rsid w:val="0036786D"/>
    <w:rsid w:val="00367E6C"/>
    <w:rsid w:val="00372FE3"/>
    <w:rsid w:val="003815BE"/>
    <w:rsid w:val="00385B8E"/>
    <w:rsid w:val="00386313"/>
    <w:rsid w:val="0038677C"/>
    <w:rsid w:val="00393B2B"/>
    <w:rsid w:val="00396CC7"/>
    <w:rsid w:val="003A3867"/>
    <w:rsid w:val="003A3CF5"/>
    <w:rsid w:val="003B2B33"/>
    <w:rsid w:val="003B6CAD"/>
    <w:rsid w:val="003C663A"/>
    <w:rsid w:val="003E4406"/>
    <w:rsid w:val="003E78D2"/>
    <w:rsid w:val="004052DA"/>
    <w:rsid w:val="00407466"/>
    <w:rsid w:val="004107D8"/>
    <w:rsid w:val="00412019"/>
    <w:rsid w:val="00423CB6"/>
    <w:rsid w:val="004243A5"/>
    <w:rsid w:val="0042669A"/>
    <w:rsid w:val="0043208E"/>
    <w:rsid w:val="004439CD"/>
    <w:rsid w:val="00445CC0"/>
    <w:rsid w:val="00457C71"/>
    <w:rsid w:val="00465859"/>
    <w:rsid w:val="004709BE"/>
    <w:rsid w:val="00477F56"/>
    <w:rsid w:val="00484A8C"/>
    <w:rsid w:val="00485569"/>
    <w:rsid w:val="00485983"/>
    <w:rsid w:val="004869FB"/>
    <w:rsid w:val="00486F81"/>
    <w:rsid w:val="004913AD"/>
    <w:rsid w:val="00496E82"/>
    <w:rsid w:val="004A097A"/>
    <w:rsid w:val="004A5FB8"/>
    <w:rsid w:val="004A621C"/>
    <w:rsid w:val="004B527C"/>
    <w:rsid w:val="004B670E"/>
    <w:rsid w:val="004C0972"/>
    <w:rsid w:val="004C4A0D"/>
    <w:rsid w:val="004C5CA6"/>
    <w:rsid w:val="004C6BE9"/>
    <w:rsid w:val="004C7A5E"/>
    <w:rsid w:val="004D7E9D"/>
    <w:rsid w:val="004E23B3"/>
    <w:rsid w:val="004E6B6C"/>
    <w:rsid w:val="004F266F"/>
    <w:rsid w:val="004F6C0B"/>
    <w:rsid w:val="00506BBE"/>
    <w:rsid w:val="005071A1"/>
    <w:rsid w:val="00507F6B"/>
    <w:rsid w:val="0051246C"/>
    <w:rsid w:val="0051633A"/>
    <w:rsid w:val="00517E44"/>
    <w:rsid w:val="0052096C"/>
    <w:rsid w:val="005229E3"/>
    <w:rsid w:val="00522AAC"/>
    <w:rsid w:val="00523689"/>
    <w:rsid w:val="00524D1C"/>
    <w:rsid w:val="005251C8"/>
    <w:rsid w:val="00527263"/>
    <w:rsid w:val="00527A3C"/>
    <w:rsid w:val="00536D2D"/>
    <w:rsid w:val="0054136D"/>
    <w:rsid w:val="00545DCC"/>
    <w:rsid w:val="0054756C"/>
    <w:rsid w:val="00547BF6"/>
    <w:rsid w:val="00551682"/>
    <w:rsid w:val="00566161"/>
    <w:rsid w:val="00572BBE"/>
    <w:rsid w:val="00572C14"/>
    <w:rsid w:val="0057781A"/>
    <w:rsid w:val="00580A61"/>
    <w:rsid w:val="0059132A"/>
    <w:rsid w:val="00591E63"/>
    <w:rsid w:val="005A5AEE"/>
    <w:rsid w:val="005A60AB"/>
    <w:rsid w:val="005A7658"/>
    <w:rsid w:val="005D06EB"/>
    <w:rsid w:val="005E3B73"/>
    <w:rsid w:val="005E5E98"/>
    <w:rsid w:val="005E63FC"/>
    <w:rsid w:val="005E66EE"/>
    <w:rsid w:val="005E74FC"/>
    <w:rsid w:val="005F33C9"/>
    <w:rsid w:val="005F7F9B"/>
    <w:rsid w:val="006130AF"/>
    <w:rsid w:val="006162F9"/>
    <w:rsid w:val="00620080"/>
    <w:rsid w:val="00620325"/>
    <w:rsid w:val="00621836"/>
    <w:rsid w:val="00634E4B"/>
    <w:rsid w:val="006355D3"/>
    <w:rsid w:val="00635B2C"/>
    <w:rsid w:val="00636670"/>
    <w:rsid w:val="00642802"/>
    <w:rsid w:val="006430C1"/>
    <w:rsid w:val="00650C87"/>
    <w:rsid w:val="006540DB"/>
    <w:rsid w:val="00656C34"/>
    <w:rsid w:val="00660186"/>
    <w:rsid w:val="00661BA7"/>
    <w:rsid w:val="00663E9A"/>
    <w:rsid w:val="00665B30"/>
    <w:rsid w:val="006676B8"/>
    <w:rsid w:val="006741C6"/>
    <w:rsid w:val="00684048"/>
    <w:rsid w:val="006925C2"/>
    <w:rsid w:val="00695E96"/>
    <w:rsid w:val="006A0F80"/>
    <w:rsid w:val="006A3316"/>
    <w:rsid w:val="006A3F0E"/>
    <w:rsid w:val="006A464E"/>
    <w:rsid w:val="006B678D"/>
    <w:rsid w:val="006B7A18"/>
    <w:rsid w:val="006C10B2"/>
    <w:rsid w:val="006D1401"/>
    <w:rsid w:val="006D3008"/>
    <w:rsid w:val="006D36D5"/>
    <w:rsid w:val="006D3EB0"/>
    <w:rsid w:val="006E1A5B"/>
    <w:rsid w:val="006E420D"/>
    <w:rsid w:val="006E4675"/>
    <w:rsid w:val="006E4A5A"/>
    <w:rsid w:val="006F06D9"/>
    <w:rsid w:val="00711382"/>
    <w:rsid w:val="007134BA"/>
    <w:rsid w:val="00716C03"/>
    <w:rsid w:val="00723A6E"/>
    <w:rsid w:val="0073311B"/>
    <w:rsid w:val="00734262"/>
    <w:rsid w:val="007345FF"/>
    <w:rsid w:val="007409CF"/>
    <w:rsid w:val="00741738"/>
    <w:rsid w:val="007417C3"/>
    <w:rsid w:val="00753C84"/>
    <w:rsid w:val="00753E34"/>
    <w:rsid w:val="007560D7"/>
    <w:rsid w:val="00765196"/>
    <w:rsid w:val="007666AB"/>
    <w:rsid w:val="0077736B"/>
    <w:rsid w:val="00781969"/>
    <w:rsid w:val="00781EBC"/>
    <w:rsid w:val="007827C0"/>
    <w:rsid w:val="00795113"/>
    <w:rsid w:val="007A346E"/>
    <w:rsid w:val="007B2A45"/>
    <w:rsid w:val="007B34DF"/>
    <w:rsid w:val="007B371E"/>
    <w:rsid w:val="007B3D64"/>
    <w:rsid w:val="007B69BD"/>
    <w:rsid w:val="007C2DE3"/>
    <w:rsid w:val="007C4463"/>
    <w:rsid w:val="007C7B3F"/>
    <w:rsid w:val="007D09C5"/>
    <w:rsid w:val="007D6EFE"/>
    <w:rsid w:val="007E13BB"/>
    <w:rsid w:val="007E5400"/>
    <w:rsid w:val="007E6885"/>
    <w:rsid w:val="007F20D9"/>
    <w:rsid w:val="007F3DEA"/>
    <w:rsid w:val="007F47A2"/>
    <w:rsid w:val="00802972"/>
    <w:rsid w:val="00803BB4"/>
    <w:rsid w:val="00813355"/>
    <w:rsid w:val="008163B6"/>
    <w:rsid w:val="00816CF2"/>
    <w:rsid w:val="00820372"/>
    <w:rsid w:val="00822FC6"/>
    <w:rsid w:val="00823A73"/>
    <w:rsid w:val="008261FA"/>
    <w:rsid w:val="00832DEE"/>
    <w:rsid w:val="00844B01"/>
    <w:rsid w:val="00851454"/>
    <w:rsid w:val="00851AC1"/>
    <w:rsid w:val="00860598"/>
    <w:rsid w:val="00871B69"/>
    <w:rsid w:val="00874F05"/>
    <w:rsid w:val="00876098"/>
    <w:rsid w:val="0088203B"/>
    <w:rsid w:val="00882672"/>
    <w:rsid w:val="00885A71"/>
    <w:rsid w:val="008A39DE"/>
    <w:rsid w:val="008B177B"/>
    <w:rsid w:val="008B41D6"/>
    <w:rsid w:val="008D0285"/>
    <w:rsid w:val="008D0BDA"/>
    <w:rsid w:val="008E1538"/>
    <w:rsid w:val="008E16AB"/>
    <w:rsid w:val="008E3BF8"/>
    <w:rsid w:val="008E50C8"/>
    <w:rsid w:val="008E6C52"/>
    <w:rsid w:val="008E7F6D"/>
    <w:rsid w:val="008F22A2"/>
    <w:rsid w:val="0090018B"/>
    <w:rsid w:val="00904102"/>
    <w:rsid w:val="0090455F"/>
    <w:rsid w:val="00910385"/>
    <w:rsid w:val="00911C71"/>
    <w:rsid w:val="009128A5"/>
    <w:rsid w:val="009203C8"/>
    <w:rsid w:val="009213CF"/>
    <w:rsid w:val="009248AE"/>
    <w:rsid w:val="00927547"/>
    <w:rsid w:val="00943898"/>
    <w:rsid w:val="00955C8D"/>
    <w:rsid w:val="00961885"/>
    <w:rsid w:val="00961CD8"/>
    <w:rsid w:val="0096283E"/>
    <w:rsid w:val="00965EEF"/>
    <w:rsid w:val="009662DB"/>
    <w:rsid w:val="00976F61"/>
    <w:rsid w:val="00977B1A"/>
    <w:rsid w:val="00984071"/>
    <w:rsid w:val="00991727"/>
    <w:rsid w:val="00993403"/>
    <w:rsid w:val="009942D4"/>
    <w:rsid w:val="00997E0D"/>
    <w:rsid w:val="009C1166"/>
    <w:rsid w:val="009C336C"/>
    <w:rsid w:val="009C5C1C"/>
    <w:rsid w:val="009E2F3F"/>
    <w:rsid w:val="009E7D8F"/>
    <w:rsid w:val="009F1712"/>
    <w:rsid w:val="00A104FC"/>
    <w:rsid w:val="00A14CC5"/>
    <w:rsid w:val="00A22F74"/>
    <w:rsid w:val="00A25645"/>
    <w:rsid w:val="00A30278"/>
    <w:rsid w:val="00A3174D"/>
    <w:rsid w:val="00A36604"/>
    <w:rsid w:val="00A419EC"/>
    <w:rsid w:val="00A4230A"/>
    <w:rsid w:val="00A53730"/>
    <w:rsid w:val="00A56A81"/>
    <w:rsid w:val="00A60F53"/>
    <w:rsid w:val="00A624CA"/>
    <w:rsid w:val="00A62FEC"/>
    <w:rsid w:val="00A70464"/>
    <w:rsid w:val="00A713B0"/>
    <w:rsid w:val="00A71903"/>
    <w:rsid w:val="00A84EAF"/>
    <w:rsid w:val="00A8580A"/>
    <w:rsid w:val="00A90CEC"/>
    <w:rsid w:val="00A91ECC"/>
    <w:rsid w:val="00A9622B"/>
    <w:rsid w:val="00AA3003"/>
    <w:rsid w:val="00AA60A8"/>
    <w:rsid w:val="00AB16ED"/>
    <w:rsid w:val="00AB2FC3"/>
    <w:rsid w:val="00AB38D6"/>
    <w:rsid w:val="00AB6F46"/>
    <w:rsid w:val="00AB755F"/>
    <w:rsid w:val="00AC0FAC"/>
    <w:rsid w:val="00AC60D3"/>
    <w:rsid w:val="00AC7750"/>
    <w:rsid w:val="00AD10E0"/>
    <w:rsid w:val="00AD3CFE"/>
    <w:rsid w:val="00AF4197"/>
    <w:rsid w:val="00AF5792"/>
    <w:rsid w:val="00B06167"/>
    <w:rsid w:val="00B076B0"/>
    <w:rsid w:val="00B20B75"/>
    <w:rsid w:val="00B21530"/>
    <w:rsid w:val="00B254CB"/>
    <w:rsid w:val="00B31A45"/>
    <w:rsid w:val="00B3551F"/>
    <w:rsid w:val="00B3636B"/>
    <w:rsid w:val="00B44AD3"/>
    <w:rsid w:val="00B47E18"/>
    <w:rsid w:val="00B602DF"/>
    <w:rsid w:val="00B61F71"/>
    <w:rsid w:val="00B61FD9"/>
    <w:rsid w:val="00B75D7A"/>
    <w:rsid w:val="00B802E2"/>
    <w:rsid w:val="00B80F8B"/>
    <w:rsid w:val="00B82617"/>
    <w:rsid w:val="00B8792F"/>
    <w:rsid w:val="00B90BFE"/>
    <w:rsid w:val="00B97788"/>
    <w:rsid w:val="00BB0D40"/>
    <w:rsid w:val="00BB4E94"/>
    <w:rsid w:val="00BC76A3"/>
    <w:rsid w:val="00BD4B05"/>
    <w:rsid w:val="00BD7B5D"/>
    <w:rsid w:val="00BE4E82"/>
    <w:rsid w:val="00BE50A7"/>
    <w:rsid w:val="00BF0A4A"/>
    <w:rsid w:val="00BF0DE1"/>
    <w:rsid w:val="00BF1321"/>
    <w:rsid w:val="00BF1849"/>
    <w:rsid w:val="00BF3BA9"/>
    <w:rsid w:val="00BF77D2"/>
    <w:rsid w:val="00C061D8"/>
    <w:rsid w:val="00C10D9C"/>
    <w:rsid w:val="00C15554"/>
    <w:rsid w:val="00C21584"/>
    <w:rsid w:val="00C37CE4"/>
    <w:rsid w:val="00C543BF"/>
    <w:rsid w:val="00C63D91"/>
    <w:rsid w:val="00C67BEF"/>
    <w:rsid w:val="00C91E7D"/>
    <w:rsid w:val="00CA1F41"/>
    <w:rsid w:val="00CA3716"/>
    <w:rsid w:val="00CA6C58"/>
    <w:rsid w:val="00CA6DAC"/>
    <w:rsid w:val="00CB7747"/>
    <w:rsid w:val="00CE5A93"/>
    <w:rsid w:val="00CE7D85"/>
    <w:rsid w:val="00CE7DC3"/>
    <w:rsid w:val="00CF1962"/>
    <w:rsid w:val="00CF25A0"/>
    <w:rsid w:val="00CF274B"/>
    <w:rsid w:val="00CF2B7F"/>
    <w:rsid w:val="00D028D7"/>
    <w:rsid w:val="00D031D5"/>
    <w:rsid w:val="00D037FB"/>
    <w:rsid w:val="00D060FC"/>
    <w:rsid w:val="00D0707F"/>
    <w:rsid w:val="00D172AF"/>
    <w:rsid w:val="00D22FD5"/>
    <w:rsid w:val="00D26BE7"/>
    <w:rsid w:val="00D31CF0"/>
    <w:rsid w:val="00D33438"/>
    <w:rsid w:val="00D374A6"/>
    <w:rsid w:val="00D606BD"/>
    <w:rsid w:val="00D637E3"/>
    <w:rsid w:val="00D67B2C"/>
    <w:rsid w:val="00D71FF7"/>
    <w:rsid w:val="00D73BC8"/>
    <w:rsid w:val="00D73FD0"/>
    <w:rsid w:val="00D74B81"/>
    <w:rsid w:val="00D80347"/>
    <w:rsid w:val="00D80795"/>
    <w:rsid w:val="00D86459"/>
    <w:rsid w:val="00D87007"/>
    <w:rsid w:val="00D87BC9"/>
    <w:rsid w:val="00D91C5D"/>
    <w:rsid w:val="00D9603A"/>
    <w:rsid w:val="00DA168C"/>
    <w:rsid w:val="00DB125C"/>
    <w:rsid w:val="00DB4761"/>
    <w:rsid w:val="00DB5CAD"/>
    <w:rsid w:val="00DB6B0B"/>
    <w:rsid w:val="00DC2A59"/>
    <w:rsid w:val="00DC3E10"/>
    <w:rsid w:val="00DD1C49"/>
    <w:rsid w:val="00DD1E63"/>
    <w:rsid w:val="00DD2725"/>
    <w:rsid w:val="00DD6E62"/>
    <w:rsid w:val="00DE143A"/>
    <w:rsid w:val="00DE2598"/>
    <w:rsid w:val="00DE4959"/>
    <w:rsid w:val="00DE6411"/>
    <w:rsid w:val="00DE6536"/>
    <w:rsid w:val="00DF023A"/>
    <w:rsid w:val="00DF18D9"/>
    <w:rsid w:val="00DF4ECF"/>
    <w:rsid w:val="00E0030A"/>
    <w:rsid w:val="00E04FB0"/>
    <w:rsid w:val="00E16095"/>
    <w:rsid w:val="00E16FC7"/>
    <w:rsid w:val="00E47784"/>
    <w:rsid w:val="00E52229"/>
    <w:rsid w:val="00E55CC8"/>
    <w:rsid w:val="00E657DB"/>
    <w:rsid w:val="00E83678"/>
    <w:rsid w:val="00E85932"/>
    <w:rsid w:val="00E86AFC"/>
    <w:rsid w:val="00E87C2B"/>
    <w:rsid w:val="00E87E65"/>
    <w:rsid w:val="00EA2828"/>
    <w:rsid w:val="00EA7FC6"/>
    <w:rsid w:val="00EB3803"/>
    <w:rsid w:val="00EC45A3"/>
    <w:rsid w:val="00EC4CFD"/>
    <w:rsid w:val="00EC5162"/>
    <w:rsid w:val="00EC612C"/>
    <w:rsid w:val="00ED60DB"/>
    <w:rsid w:val="00ED759A"/>
    <w:rsid w:val="00EF067F"/>
    <w:rsid w:val="00EF772C"/>
    <w:rsid w:val="00F0047D"/>
    <w:rsid w:val="00F14C4A"/>
    <w:rsid w:val="00F14DE9"/>
    <w:rsid w:val="00F22F6B"/>
    <w:rsid w:val="00F24F05"/>
    <w:rsid w:val="00F27AE4"/>
    <w:rsid w:val="00F30F3B"/>
    <w:rsid w:val="00F44299"/>
    <w:rsid w:val="00F450C4"/>
    <w:rsid w:val="00F460FF"/>
    <w:rsid w:val="00F61FCF"/>
    <w:rsid w:val="00F64A97"/>
    <w:rsid w:val="00F65199"/>
    <w:rsid w:val="00F66AB3"/>
    <w:rsid w:val="00F6766A"/>
    <w:rsid w:val="00F67F9A"/>
    <w:rsid w:val="00F7068A"/>
    <w:rsid w:val="00F71662"/>
    <w:rsid w:val="00F82AF8"/>
    <w:rsid w:val="00F82F14"/>
    <w:rsid w:val="00F911F5"/>
    <w:rsid w:val="00F95FDF"/>
    <w:rsid w:val="00F9649C"/>
    <w:rsid w:val="00FA093A"/>
    <w:rsid w:val="00FB5FFB"/>
    <w:rsid w:val="00FB7470"/>
    <w:rsid w:val="00FC27C4"/>
    <w:rsid w:val="00FC33B8"/>
    <w:rsid w:val="00FD0A44"/>
    <w:rsid w:val="00FD10B3"/>
    <w:rsid w:val="00FD6772"/>
    <w:rsid w:val="00FF0091"/>
    <w:rsid w:val="00FF4DB5"/>
    <w:rsid w:val="00FF599C"/>
    <w:rsid w:val="00FF6BFD"/>
    <w:rsid w:val="00FF7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C8"/>
    <w:pPr>
      <w:ind w:firstLineChars="200" w:firstLine="200"/>
    </w:pPr>
    <w:rPr>
      <w:rFonts w:ascii="Times New Roman" w:eastAsia="宋体" w:hAnsi="Times New Roman"/>
      <w:kern w:val="0"/>
      <w:sz w:val="24"/>
    </w:rPr>
  </w:style>
  <w:style w:type="paragraph" w:styleId="1">
    <w:name w:val="heading 1"/>
    <w:aliases w:val="万研一"/>
    <w:basedOn w:val="a"/>
    <w:next w:val="a"/>
    <w:link w:val="1Char"/>
    <w:uiPriority w:val="9"/>
    <w:qFormat/>
    <w:rsid w:val="00D71FF7"/>
    <w:pPr>
      <w:keepNext/>
      <w:keepLines/>
      <w:numPr>
        <w:numId w:val="1"/>
      </w:numPr>
      <w:spacing w:beforeLines="50" w:afterLines="50"/>
      <w:ind w:left="0" w:firstLineChars="0" w:firstLine="0"/>
      <w:outlineLvl w:val="0"/>
    </w:pPr>
    <w:rPr>
      <w:b/>
      <w:bCs/>
      <w:kern w:val="44"/>
      <w:sz w:val="28"/>
      <w:szCs w:val="44"/>
    </w:rPr>
  </w:style>
  <w:style w:type="paragraph" w:styleId="2">
    <w:name w:val="heading 2"/>
    <w:aliases w:val="万研二"/>
    <w:basedOn w:val="a"/>
    <w:next w:val="a"/>
    <w:link w:val="2Char"/>
    <w:uiPriority w:val="9"/>
    <w:unhideWhenUsed/>
    <w:qFormat/>
    <w:rsid w:val="00D71FF7"/>
    <w:pPr>
      <w:keepNext/>
      <w:keepLines/>
      <w:numPr>
        <w:numId w:val="5"/>
      </w:numPr>
      <w:ind w:left="0" w:firstLineChars="0" w:firstLine="0"/>
      <w:outlineLvl w:val="1"/>
    </w:pPr>
    <w:rPr>
      <w:rFonts w:eastAsiaTheme="majorEastAsia" w:cstheme="majorBidi"/>
      <w:bCs/>
      <w:szCs w:val="32"/>
    </w:rPr>
  </w:style>
  <w:style w:type="paragraph" w:styleId="3">
    <w:name w:val="heading 3"/>
    <w:aliases w:val="万研三,万研二级"/>
    <w:basedOn w:val="a"/>
    <w:next w:val="a"/>
    <w:link w:val="3Char"/>
    <w:uiPriority w:val="9"/>
    <w:unhideWhenUsed/>
    <w:qFormat/>
    <w:rsid w:val="00D71FF7"/>
    <w:pPr>
      <w:keepNext/>
      <w:keepLines/>
      <w:numPr>
        <w:numId w:val="28"/>
      </w:numPr>
      <w:ind w:left="0" w:firstLine="200"/>
      <w:outlineLvl w:val="2"/>
    </w:pPr>
    <w:rPr>
      <w:bCs/>
      <w:szCs w:val="32"/>
    </w:rPr>
  </w:style>
  <w:style w:type="paragraph" w:styleId="4">
    <w:name w:val="heading 4"/>
    <w:aliases w:val="万研四"/>
    <w:basedOn w:val="a"/>
    <w:next w:val="a"/>
    <w:link w:val="4Char"/>
    <w:uiPriority w:val="9"/>
    <w:unhideWhenUsed/>
    <w:qFormat/>
    <w:rsid w:val="00D71FF7"/>
    <w:pPr>
      <w:keepNext/>
      <w:keepLines/>
      <w:numPr>
        <w:numId w:val="4"/>
      </w:numPr>
      <w:ind w:left="0" w:firstLine="200"/>
      <w:outlineLvl w:val="3"/>
    </w:pPr>
    <w:rPr>
      <w:rFonts w:eastAsiaTheme="majorEastAsia"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663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3C663A"/>
    <w:rPr>
      <w:sz w:val="18"/>
      <w:szCs w:val="18"/>
    </w:rPr>
  </w:style>
  <w:style w:type="paragraph" w:styleId="a4">
    <w:name w:val="footer"/>
    <w:basedOn w:val="a"/>
    <w:link w:val="Char0"/>
    <w:uiPriority w:val="99"/>
    <w:unhideWhenUsed/>
    <w:rsid w:val="003C663A"/>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3C663A"/>
    <w:rPr>
      <w:sz w:val="18"/>
      <w:szCs w:val="18"/>
    </w:rPr>
  </w:style>
  <w:style w:type="paragraph" w:styleId="a5">
    <w:name w:val="Balloon Text"/>
    <w:basedOn w:val="a"/>
    <w:link w:val="Char1"/>
    <w:uiPriority w:val="99"/>
    <w:semiHidden/>
    <w:unhideWhenUsed/>
    <w:rsid w:val="001E6DCC"/>
    <w:pPr>
      <w:spacing w:line="240" w:lineRule="auto"/>
    </w:pPr>
    <w:rPr>
      <w:sz w:val="18"/>
      <w:szCs w:val="18"/>
    </w:rPr>
  </w:style>
  <w:style w:type="character" w:customStyle="1" w:styleId="Char1">
    <w:name w:val="批注框文本 Char"/>
    <w:basedOn w:val="a0"/>
    <w:link w:val="a5"/>
    <w:uiPriority w:val="99"/>
    <w:semiHidden/>
    <w:rsid w:val="001E6DCC"/>
    <w:rPr>
      <w:sz w:val="18"/>
      <w:szCs w:val="18"/>
    </w:rPr>
  </w:style>
  <w:style w:type="paragraph" w:styleId="a6">
    <w:name w:val="List Paragraph"/>
    <w:basedOn w:val="a"/>
    <w:uiPriority w:val="34"/>
    <w:qFormat/>
    <w:rsid w:val="00522AAC"/>
    <w:pPr>
      <w:ind w:firstLine="420"/>
    </w:pPr>
  </w:style>
  <w:style w:type="paragraph" w:styleId="a7">
    <w:name w:val="Document Map"/>
    <w:basedOn w:val="a"/>
    <w:link w:val="Char2"/>
    <w:uiPriority w:val="99"/>
    <w:semiHidden/>
    <w:unhideWhenUsed/>
    <w:rsid w:val="007417C3"/>
    <w:rPr>
      <w:rFonts w:ascii="宋体"/>
      <w:sz w:val="18"/>
      <w:szCs w:val="18"/>
    </w:rPr>
  </w:style>
  <w:style w:type="character" w:customStyle="1" w:styleId="Char2">
    <w:name w:val="文档结构图 Char"/>
    <w:basedOn w:val="a0"/>
    <w:link w:val="a7"/>
    <w:uiPriority w:val="99"/>
    <w:semiHidden/>
    <w:rsid w:val="007417C3"/>
    <w:rPr>
      <w:rFonts w:ascii="宋体" w:eastAsia="宋体"/>
      <w:sz w:val="18"/>
      <w:szCs w:val="18"/>
    </w:rPr>
  </w:style>
  <w:style w:type="character" w:customStyle="1" w:styleId="1Char">
    <w:name w:val="标题 1 Char"/>
    <w:aliases w:val="万研一 Char"/>
    <w:basedOn w:val="a0"/>
    <w:link w:val="1"/>
    <w:uiPriority w:val="9"/>
    <w:rsid w:val="00D71FF7"/>
    <w:rPr>
      <w:rFonts w:ascii="Times New Roman" w:eastAsia="宋体" w:hAnsi="Times New Roman"/>
      <w:b/>
      <w:bCs/>
      <w:kern w:val="44"/>
      <w:sz w:val="28"/>
      <w:szCs w:val="44"/>
    </w:rPr>
  </w:style>
  <w:style w:type="character" w:customStyle="1" w:styleId="2Char">
    <w:name w:val="标题 2 Char"/>
    <w:aliases w:val="万研二 Char"/>
    <w:basedOn w:val="a0"/>
    <w:link w:val="2"/>
    <w:uiPriority w:val="9"/>
    <w:rsid w:val="00D71FF7"/>
    <w:rPr>
      <w:rFonts w:ascii="Times New Roman" w:eastAsiaTheme="majorEastAsia" w:hAnsi="Times New Roman" w:cstheme="majorBidi"/>
      <w:bCs/>
      <w:sz w:val="24"/>
      <w:szCs w:val="32"/>
    </w:rPr>
  </w:style>
  <w:style w:type="character" w:customStyle="1" w:styleId="3Char">
    <w:name w:val="标题 3 Char"/>
    <w:aliases w:val="万研三 Char,万研二级 Char"/>
    <w:basedOn w:val="a0"/>
    <w:link w:val="3"/>
    <w:uiPriority w:val="9"/>
    <w:rsid w:val="00D71FF7"/>
    <w:rPr>
      <w:rFonts w:ascii="Times New Roman" w:eastAsia="宋体" w:hAnsi="Times New Roman"/>
      <w:bCs/>
      <w:sz w:val="24"/>
      <w:szCs w:val="32"/>
    </w:rPr>
  </w:style>
  <w:style w:type="character" w:customStyle="1" w:styleId="4Char">
    <w:name w:val="标题 4 Char"/>
    <w:aliases w:val="万研四 Char"/>
    <w:basedOn w:val="a0"/>
    <w:link w:val="4"/>
    <w:uiPriority w:val="9"/>
    <w:rsid w:val="00D71FF7"/>
    <w:rPr>
      <w:rFonts w:ascii="Times New Roman" w:eastAsiaTheme="majorEastAsia" w:hAnsi="Times New Roman" w:cstheme="majorBidi"/>
      <w:bCs/>
      <w:sz w:val="24"/>
      <w:szCs w:val="28"/>
    </w:rPr>
  </w:style>
  <w:style w:type="table" w:styleId="a8">
    <w:name w:val="Table Grid"/>
    <w:basedOn w:val="a1"/>
    <w:uiPriority w:val="39"/>
    <w:rsid w:val="004052D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浅色底纹 - 强调文字颜色 11"/>
    <w:basedOn w:val="a1"/>
    <w:uiPriority w:val="60"/>
    <w:rsid w:val="00656C34"/>
    <w:pPr>
      <w:spacing w:line="240" w:lineRule="auto"/>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9">
    <w:name w:val="footnote text"/>
    <w:basedOn w:val="a"/>
    <w:link w:val="Char3"/>
    <w:semiHidden/>
    <w:rsid w:val="00656C34"/>
    <w:pPr>
      <w:snapToGrid w:val="0"/>
      <w:spacing w:line="240" w:lineRule="auto"/>
      <w:jc w:val="left"/>
    </w:pPr>
    <w:rPr>
      <w:rFonts w:cs="Times New Roman"/>
      <w:sz w:val="18"/>
      <w:szCs w:val="18"/>
    </w:rPr>
  </w:style>
  <w:style w:type="character" w:customStyle="1" w:styleId="Char3">
    <w:name w:val="脚注文本 Char"/>
    <w:basedOn w:val="a0"/>
    <w:link w:val="a9"/>
    <w:semiHidden/>
    <w:rsid w:val="00656C34"/>
    <w:rPr>
      <w:rFonts w:ascii="Times New Roman" w:eastAsia="宋体" w:hAnsi="Times New Roman" w:cs="Times New Roman"/>
      <w:sz w:val="18"/>
      <w:szCs w:val="18"/>
    </w:rPr>
  </w:style>
  <w:style w:type="character" w:styleId="aa">
    <w:name w:val="footnote reference"/>
    <w:basedOn w:val="a0"/>
    <w:semiHidden/>
    <w:rsid w:val="00656C34"/>
    <w:rPr>
      <w:vertAlign w:val="superscript"/>
    </w:rPr>
  </w:style>
  <w:style w:type="paragraph" w:styleId="ab">
    <w:name w:val="Normal (Web)"/>
    <w:basedOn w:val="a"/>
    <w:uiPriority w:val="99"/>
    <w:semiHidden/>
    <w:unhideWhenUsed/>
    <w:rsid w:val="000A3B4A"/>
    <w:pPr>
      <w:spacing w:before="100" w:beforeAutospacing="1" w:after="100" w:afterAutospacing="1" w:line="240" w:lineRule="auto"/>
      <w:jc w:val="left"/>
    </w:pPr>
    <w:rPr>
      <w:rFonts w:ascii="宋体" w:hAnsi="宋体" w:cs="宋体"/>
      <w:szCs w:val="24"/>
    </w:rPr>
  </w:style>
  <w:style w:type="paragraph" w:styleId="ac">
    <w:name w:val="caption"/>
    <w:basedOn w:val="a"/>
    <w:next w:val="a"/>
    <w:uiPriority w:val="35"/>
    <w:unhideWhenUsed/>
    <w:qFormat/>
    <w:rsid w:val="00A22F74"/>
    <w:rPr>
      <w:rFonts w:asciiTheme="majorHAnsi" w:eastAsia="黑体" w:hAnsiTheme="majorHAnsi" w:cstheme="majorBidi"/>
      <w:sz w:val="20"/>
      <w:szCs w:val="20"/>
    </w:rPr>
  </w:style>
  <w:style w:type="table" w:styleId="1-2">
    <w:name w:val="Medium Shading 1 Accent 2"/>
    <w:basedOn w:val="a1"/>
    <w:uiPriority w:val="63"/>
    <w:rsid w:val="00A36604"/>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
    <w:name w:val="TOC Heading"/>
    <w:basedOn w:val="1"/>
    <w:next w:val="a"/>
    <w:uiPriority w:val="39"/>
    <w:semiHidden/>
    <w:unhideWhenUsed/>
    <w:qFormat/>
    <w:rsid w:val="002D5EB9"/>
    <w:pPr>
      <w:numPr>
        <w:numId w:val="0"/>
      </w:numPr>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2D5EB9"/>
  </w:style>
  <w:style w:type="paragraph" w:styleId="20">
    <w:name w:val="toc 2"/>
    <w:basedOn w:val="a"/>
    <w:next w:val="a"/>
    <w:autoRedefine/>
    <w:uiPriority w:val="39"/>
    <w:unhideWhenUsed/>
    <w:rsid w:val="002D5EB9"/>
    <w:pPr>
      <w:ind w:leftChars="200" w:left="420"/>
    </w:pPr>
  </w:style>
  <w:style w:type="paragraph" w:styleId="30">
    <w:name w:val="toc 3"/>
    <w:basedOn w:val="a"/>
    <w:next w:val="a"/>
    <w:autoRedefine/>
    <w:uiPriority w:val="39"/>
    <w:unhideWhenUsed/>
    <w:rsid w:val="002D5EB9"/>
    <w:pPr>
      <w:ind w:leftChars="400" w:left="840"/>
    </w:pPr>
  </w:style>
  <w:style w:type="character" w:styleId="ad">
    <w:name w:val="Hyperlink"/>
    <w:uiPriority w:val="99"/>
    <w:unhideWhenUsed/>
    <w:rsid w:val="00660186"/>
    <w:rPr>
      <w:sz w:val="24"/>
      <w:szCs w:val="24"/>
    </w:rPr>
  </w:style>
  <w:style w:type="character" w:styleId="ae">
    <w:name w:val="FollowedHyperlink"/>
    <w:basedOn w:val="a0"/>
    <w:uiPriority w:val="99"/>
    <w:semiHidden/>
    <w:unhideWhenUsed/>
    <w:rsid w:val="000978DD"/>
    <w:rPr>
      <w:color w:val="800080" w:themeColor="followedHyperlink"/>
      <w:u w:val="single"/>
    </w:rPr>
  </w:style>
  <w:style w:type="paragraph" w:styleId="af">
    <w:name w:val="Title"/>
    <w:basedOn w:val="a"/>
    <w:next w:val="a"/>
    <w:link w:val="Char4"/>
    <w:uiPriority w:val="10"/>
    <w:qFormat/>
    <w:rsid w:val="001A3E4B"/>
    <w:pPr>
      <w:spacing w:before="240" w:after="240"/>
      <w:jc w:val="center"/>
      <w:outlineLvl w:val="0"/>
    </w:pPr>
    <w:rPr>
      <w:rFonts w:asciiTheme="majorHAnsi" w:hAnsiTheme="majorHAnsi" w:cstheme="majorBidi"/>
      <w:b/>
      <w:bCs/>
      <w:sz w:val="32"/>
      <w:szCs w:val="32"/>
    </w:rPr>
  </w:style>
  <w:style w:type="character" w:customStyle="1" w:styleId="Char4">
    <w:name w:val="标题 Char"/>
    <w:basedOn w:val="a0"/>
    <w:link w:val="af"/>
    <w:uiPriority w:val="10"/>
    <w:rsid w:val="001A3E4B"/>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463548415">
      <w:bodyDiv w:val="1"/>
      <w:marLeft w:val="0"/>
      <w:marRight w:val="0"/>
      <w:marTop w:val="0"/>
      <w:marBottom w:val="0"/>
      <w:divBdr>
        <w:top w:val="none" w:sz="0" w:space="0" w:color="auto"/>
        <w:left w:val="none" w:sz="0" w:space="0" w:color="auto"/>
        <w:bottom w:val="none" w:sz="0" w:space="0" w:color="auto"/>
        <w:right w:val="none" w:sz="0" w:space="0" w:color="auto"/>
      </w:divBdr>
    </w:div>
    <w:div w:id="667555754">
      <w:bodyDiv w:val="1"/>
      <w:marLeft w:val="0"/>
      <w:marRight w:val="0"/>
      <w:marTop w:val="0"/>
      <w:marBottom w:val="0"/>
      <w:divBdr>
        <w:top w:val="none" w:sz="0" w:space="0" w:color="auto"/>
        <w:left w:val="none" w:sz="0" w:space="0" w:color="auto"/>
        <w:bottom w:val="none" w:sz="0" w:space="0" w:color="auto"/>
        <w:right w:val="none" w:sz="0" w:space="0" w:color="auto"/>
      </w:divBdr>
    </w:div>
    <w:div w:id="881291243">
      <w:bodyDiv w:val="1"/>
      <w:marLeft w:val="0"/>
      <w:marRight w:val="0"/>
      <w:marTop w:val="0"/>
      <w:marBottom w:val="0"/>
      <w:divBdr>
        <w:top w:val="none" w:sz="0" w:space="0" w:color="auto"/>
        <w:left w:val="none" w:sz="0" w:space="0" w:color="auto"/>
        <w:bottom w:val="none" w:sz="0" w:space="0" w:color="auto"/>
        <w:right w:val="none" w:sz="0" w:space="0" w:color="auto"/>
      </w:divBdr>
    </w:div>
    <w:div w:id="980235558">
      <w:bodyDiv w:val="1"/>
      <w:marLeft w:val="0"/>
      <w:marRight w:val="0"/>
      <w:marTop w:val="0"/>
      <w:marBottom w:val="0"/>
      <w:divBdr>
        <w:top w:val="none" w:sz="0" w:space="0" w:color="auto"/>
        <w:left w:val="none" w:sz="0" w:space="0" w:color="auto"/>
        <w:bottom w:val="none" w:sz="0" w:space="0" w:color="auto"/>
        <w:right w:val="none" w:sz="0" w:space="0" w:color="auto"/>
      </w:divBdr>
    </w:div>
    <w:div w:id="10378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e.wjasse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jasset.co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oc.WJASSET\Desktop\&#19975;&#23478;Wor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49E5-22A4-46CE-9346-D696ADC8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万家Word模板.dotx</Template>
  <TotalTime>1</TotalTime>
  <Pages>5</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邵晨</dc:creator>
  <cp:lastModifiedBy>邵晨</cp:lastModifiedBy>
  <cp:revision>2</cp:revision>
  <cp:lastPrinted>2014-05-23T02:37:00Z</cp:lastPrinted>
  <dcterms:created xsi:type="dcterms:W3CDTF">2014-05-27T01:33:00Z</dcterms:created>
  <dcterms:modified xsi:type="dcterms:W3CDTF">2014-05-27T01:33:00Z</dcterms:modified>
</cp:coreProperties>
</file>